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D54F" w14:textId="77777777" w:rsidR="00EC77C6" w:rsidRPr="00EC77C6" w:rsidRDefault="00EC77C6" w:rsidP="00EC77C6">
      <w:pPr>
        <w:pStyle w:val="a5"/>
        <w:spacing w:before="0" w:beforeAutospacing="0" w:after="0" w:afterAutospacing="0"/>
        <w:jc w:val="center"/>
        <w:rPr>
          <w:rFonts w:ascii="Microsoft YaHei UI" w:eastAsia="Microsoft YaHei UI" w:hAnsi="Microsoft YaHei UI"/>
          <w:color w:val="333333"/>
          <w:sz w:val="32"/>
          <w:szCs w:val="32"/>
        </w:rPr>
      </w:pPr>
      <w:r w:rsidRPr="00EC77C6">
        <w:rPr>
          <w:rFonts w:ascii="Microsoft YaHei UI" w:eastAsia="Microsoft YaHei UI" w:hAnsi="Microsoft YaHei UI"/>
          <w:b/>
          <w:bCs/>
          <w:color w:val="333333"/>
          <w:sz w:val="32"/>
          <w:szCs w:val="32"/>
        </w:rPr>
        <w:t>学士学位授权与授予管理办法</w:t>
      </w:r>
    </w:p>
    <w:p w14:paraId="3B3D1F2D" w14:textId="50782383" w:rsidR="00EC77C6" w:rsidRPr="00EC77C6" w:rsidRDefault="00EC77C6" w:rsidP="00EC77C6">
      <w:pPr>
        <w:pStyle w:val="a5"/>
        <w:spacing w:before="0" w:beforeAutospacing="0" w:after="0" w:afterAutospacing="0"/>
        <w:jc w:val="center"/>
        <w:rPr>
          <w:rFonts w:ascii="Microsoft YaHei UI" w:eastAsia="Microsoft YaHei UI" w:hAnsi="Microsoft YaHei UI"/>
          <w:color w:val="333333"/>
          <w:sz w:val="22"/>
          <w:szCs w:val="22"/>
        </w:rPr>
      </w:pPr>
      <w:r w:rsidRPr="00EC77C6">
        <w:rPr>
          <w:rFonts w:ascii="Microsoft YaHei UI" w:eastAsia="Microsoft YaHei UI" w:hAnsi="Microsoft YaHei UI"/>
          <w:color w:val="333333"/>
          <w:sz w:val="22"/>
          <w:szCs w:val="22"/>
        </w:rPr>
        <w:t>（国务院学位委员会第三十五次会议审议通过）</w:t>
      </w:r>
    </w:p>
    <w:p w14:paraId="2BF7355A" w14:textId="0AB15FA9" w:rsidR="00EC77C6" w:rsidRPr="00DF20E3" w:rsidRDefault="00EC77C6" w:rsidP="00EC77C6">
      <w:pPr>
        <w:pStyle w:val="a5"/>
        <w:spacing w:before="0" w:beforeAutospacing="0" w:after="0" w:afterAutospacing="0"/>
        <w:jc w:val="center"/>
        <w:rPr>
          <w:rFonts w:ascii="微软雅黑" w:eastAsia="微软雅黑" w:hAnsi="微软雅黑" w:hint="eastAsia"/>
          <w:sz w:val="28"/>
          <w:szCs w:val="28"/>
        </w:rPr>
      </w:pPr>
      <w:r w:rsidRPr="00DF20E3">
        <w:rPr>
          <w:rFonts w:ascii="微软雅黑" w:eastAsia="微软雅黑" w:hAnsi="微软雅黑" w:hint="eastAsia"/>
          <w:sz w:val="28"/>
          <w:szCs w:val="28"/>
        </w:rPr>
        <w:t>第一章 总则</w:t>
      </w:r>
    </w:p>
    <w:p w14:paraId="4C12FF55" w14:textId="16E72369" w:rsidR="00EC77C6" w:rsidRPr="00AA0CBE"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bookmarkStart w:id="0" w:name="_Hlk26350357"/>
      <w:r w:rsidRPr="00AA0CBE">
        <w:rPr>
          <w:rStyle w:val="a6"/>
          <w:rFonts w:ascii="Microsoft YaHei UI" w:eastAsia="Microsoft YaHei UI" w:hAnsi="Microsoft YaHei UI" w:hint="eastAsia"/>
          <w:color w:val="007AAA"/>
          <w:sz w:val="26"/>
          <w:szCs w:val="26"/>
        </w:rPr>
        <w:t>第一条 </w:t>
      </w:r>
      <w:r w:rsidRPr="00AA0CBE">
        <w:rPr>
          <w:rFonts w:ascii="Microsoft YaHei UI" w:eastAsia="Microsoft YaHei UI" w:hAnsi="Microsoft YaHei UI" w:hint="eastAsia"/>
          <w:color w:val="333333"/>
          <w:sz w:val="26"/>
          <w:szCs w:val="26"/>
        </w:rPr>
        <w:t>为改进和加强学士学位授权与授予工作，提高学士学位授予质量，实现高等教育内涵式发展，根据《中华人民共和国高等教育法》《中华人民共和国学位条例》及其暂行实施办法，制定本办法。</w:t>
      </w:r>
    </w:p>
    <w:p w14:paraId="432FAAA5" w14:textId="3C4638E7" w:rsidR="00EC77C6" w:rsidRPr="00AA0CBE"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sidRPr="00AA0CBE">
        <w:rPr>
          <w:rStyle w:val="a6"/>
          <w:rFonts w:ascii="Microsoft YaHei UI" w:eastAsia="Microsoft YaHei UI" w:hAnsi="Microsoft YaHei UI" w:hint="eastAsia"/>
          <w:color w:val="007AAA"/>
          <w:spacing w:val="8"/>
          <w:sz w:val="26"/>
          <w:szCs w:val="26"/>
        </w:rPr>
        <w:t>第二条 </w:t>
      </w:r>
      <w:r w:rsidRPr="00AA0CBE">
        <w:rPr>
          <w:rFonts w:ascii="Microsoft YaHei UI" w:eastAsia="Microsoft YaHei UI" w:hAnsi="Microsoft YaHei UI" w:hint="eastAsia"/>
          <w:color w:val="333333"/>
          <w:spacing w:val="8"/>
          <w:sz w:val="26"/>
          <w:szCs w:val="26"/>
        </w:rPr>
        <w:t>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14:paraId="16B247C6" w14:textId="2705553A" w:rsidR="00EC77C6" w:rsidRPr="00AA0CBE"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sidRPr="00AA0CBE">
        <w:rPr>
          <w:rStyle w:val="a6"/>
          <w:rFonts w:ascii="Microsoft YaHei UI" w:eastAsia="Microsoft YaHei UI" w:hAnsi="Microsoft YaHei UI" w:hint="eastAsia"/>
          <w:color w:val="007AAA"/>
          <w:spacing w:val="8"/>
          <w:sz w:val="26"/>
          <w:szCs w:val="26"/>
        </w:rPr>
        <w:t>第三条 </w:t>
      </w:r>
      <w:r w:rsidRPr="00AA0CBE">
        <w:rPr>
          <w:rFonts w:ascii="Microsoft YaHei UI" w:eastAsia="Microsoft YaHei UI" w:hAnsi="Microsoft YaHei UI" w:hint="eastAsia"/>
          <w:color w:val="333333"/>
          <w:spacing w:val="8"/>
          <w:sz w:val="26"/>
          <w:szCs w:val="26"/>
        </w:rPr>
        <w:t>学士学位授权与授予工作应坚持完善制度、依法管理、保证质量、激发活力的原则。</w:t>
      </w:r>
    </w:p>
    <w:p w14:paraId="12A3543C" w14:textId="1A8E805F" w:rsidR="00EC77C6" w:rsidRPr="00DF20E3" w:rsidRDefault="00EC77C6" w:rsidP="00EC77C6">
      <w:pPr>
        <w:pStyle w:val="a5"/>
        <w:spacing w:before="0" w:beforeAutospacing="0" w:after="0" w:afterAutospacing="0"/>
        <w:jc w:val="center"/>
        <w:rPr>
          <w:rFonts w:ascii="微软雅黑" w:eastAsia="微软雅黑" w:hAnsi="微软雅黑" w:hint="eastAsia"/>
          <w:sz w:val="28"/>
          <w:szCs w:val="28"/>
        </w:rPr>
      </w:pPr>
      <w:r w:rsidRPr="00DF20E3">
        <w:rPr>
          <w:rFonts w:ascii="微软雅黑" w:eastAsia="微软雅黑" w:hAnsi="微软雅黑" w:hint="eastAsia"/>
          <w:sz w:val="28"/>
          <w:szCs w:val="28"/>
        </w:rPr>
        <w:t>第</w:t>
      </w:r>
      <w:r w:rsidRPr="00DF20E3">
        <w:rPr>
          <w:rFonts w:ascii="微软雅黑" w:eastAsia="微软雅黑" w:hAnsi="微软雅黑" w:hint="eastAsia"/>
          <w:sz w:val="28"/>
          <w:szCs w:val="28"/>
        </w:rPr>
        <w:t>二</w:t>
      </w:r>
      <w:r w:rsidRPr="00DF20E3">
        <w:rPr>
          <w:rFonts w:ascii="微软雅黑" w:eastAsia="微软雅黑" w:hAnsi="微软雅黑" w:hint="eastAsia"/>
          <w:sz w:val="28"/>
          <w:szCs w:val="28"/>
        </w:rPr>
        <w:t xml:space="preserve">章 </w:t>
      </w:r>
      <w:r w:rsidRPr="00DF20E3">
        <w:rPr>
          <w:rFonts w:ascii="微软雅黑" w:eastAsia="微软雅黑" w:hAnsi="微软雅黑" w:hint="eastAsia"/>
          <w:sz w:val="28"/>
          <w:szCs w:val="28"/>
        </w:rPr>
        <w:t>学位授权</w:t>
      </w:r>
    </w:p>
    <w:p w14:paraId="22E70B41"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sidRPr="00DF20E3">
        <w:rPr>
          <w:rStyle w:val="a6"/>
          <w:rFonts w:ascii="Microsoft YaHei UI" w:eastAsia="Microsoft YaHei UI" w:hAnsi="Microsoft YaHei UI" w:hint="eastAsia"/>
          <w:color w:val="007AAA"/>
          <w:spacing w:val="8"/>
        </w:rPr>
        <w:t>第四条</w:t>
      </w:r>
      <w:r w:rsidRPr="00DF20E3">
        <w:rPr>
          <w:rFonts w:ascii="Microsoft YaHei UI" w:eastAsia="Microsoft YaHei UI" w:hAnsi="Microsoft YaHei UI" w:hint="eastAsia"/>
          <w:color w:val="333333"/>
          <w:spacing w:val="8"/>
        </w:rPr>
        <w:t> 学士学位授权分为新增学士学位授予单位授权和新增学士</w:t>
      </w:r>
      <w:r>
        <w:rPr>
          <w:rFonts w:ascii="Microsoft YaHei UI" w:eastAsia="Microsoft YaHei UI" w:hAnsi="Microsoft YaHei UI" w:hint="eastAsia"/>
          <w:color w:val="333333"/>
          <w:spacing w:val="8"/>
          <w:sz w:val="26"/>
          <w:szCs w:val="26"/>
        </w:rPr>
        <w:t>学位授予专业授权。</w:t>
      </w:r>
    </w:p>
    <w:p w14:paraId="6DF2F16D" w14:textId="7C97FCC2"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第五条</w:t>
      </w:r>
      <w:r>
        <w:rPr>
          <w:rFonts w:ascii="Microsoft YaHei UI" w:eastAsia="Microsoft YaHei UI" w:hAnsi="Microsoft YaHei UI" w:hint="eastAsia"/>
          <w:color w:val="333333"/>
          <w:spacing w:val="8"/>
          <w:sz w:val="26"/>
          <w:szCs w:val="26"/>
        </w:rPr>
        <w:t> 普通高等学校的学士学位授权按属地原则由省（区、市）学位委员会负责审批。军队院校的学士学位授权由军队学位委员会负责审批。</w:t>
      </w:r>
    </w:p>
    <w:p w14:paraId="1C24CCA0"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第六条</w:t>
      </w:r>
      <w:r>
        <w:rPr>
          <w:rFonts w:ascii="Microsoft YaHei UI" w:eastAsia="Microsoft YaHei UI" w:hAnsi="Microsoft YaHei UI" w:hint="eastAsia"/>
          <w:color w:val="333333"/>
          <w:spacing w:val="8"/>
          <w:sz w:val="26"/>
          <w:szCs w:val="26"/>
        </w:rPr>
        <w:t> 省（区、市）学位委员会、军队学位委员会（以下简称为“省级学位委员会”）应制定学士学位授权审核标准。审核标准应明确办学方向、师资队伍、基本条件、课程设置、教学方式、管理制度等要求，不低于本科院校设置标准和本科专业设置标准。</w:t>
      </w:r>
    </w:p>
    <w:p w14:paraId="60C76910"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lastRenderedPageBreak/>
        <w:t>第七条</w:t>
      </w:r>
      <w:r>
        <w:rPr>
          <w:rFonts w:ascii="Microsoft YaHei UI" w:eastAsia="Microsoft YaHei UI" w:hAnsi="Microsoft YaHei UI" w:hint="eastAsia"/>
          <w:color w:val="333333"/>
          <w:spacing w:val="8"/>
          <w:sz w:val="26"/>
          <w:szCs w:val="26"/>
        </w:rPr>
        <w:t> 省级学位委员会应制定学士学位授权审核办法，完善审批程序。审核工作应加强与院校设置、专业设置等工作的衔接。</w:t>
      </w:r>
    </w:p>
    <w:p w14:paraId="43253E0B"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第八条</w:t>
      </w:r>
      <w:r>
        <w:rPr>
          <w:rFonts w:ascii="Microsoft YaHei UI" w:eastAsia="Microsoft YaHei UI" w:hAnsi="Microsoft YaHei UI" w:hint="eastAsia"/>
          <w:color w:val="333333"/>
          <w:spacing w:val="8"/>
          <w:sz w:val="26"/>
          <w:szCs w:val="26"/>
        </w:rPr>
        <w:t> 经教育部批准设置的普通高等学校，原则上应在招收首批本科生的当年，向省级学位委员会提出学士学位授予单位授权申请。</w:t>
      </w:r>
    </w:p>
    <w:p w14:paraId="0C9CD375"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经教育部批准或备案的新增本科专业，学士学位授予单位原则上应在本专业招收首批本科生的当年，向省级学位委员会提出学士学位授予专业授权申请。</w:t>
      </w:r>
    </w:p>
    <w:p w14:paraId="0C85581F"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第九条</w:t>
      </w:r>
      <w:r>
        <w:rPr>
          <w:rFonts w:ascii="Microsoft YaHei UI" w:eastAsia="Microsoft YaHei UI" w:hAnsi="Microsoft YaHei UI" w:hint="eastAsia"/>
          <w:color w:val="333333"/>
          <w:spacing w:val="8"/>
          <w:sz w:val="26"/>
          <w:szCs w:val="26"/>
        </w:rPr>
        <w:t> 学士学位授予单位撤销的授权专业应报省级学位委员会备案。已获得学士学位授权的专业停止招生五年以上的，视为自动放弃授权，恢复招生的须按照新增本科专业重新申请学士学位授权。</w:t>
      </w:r>
    </w:p>
    <w:p w14:paraId="7041CA93" w14:textId="037BBBB4"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007AAA"/>
          <w:spacing w:val="8"/>
          <w:sz w:val="26"/>
          <w:szCs w:val="26"/>
        </w:rPr>
        <w:t>第十条</w:t>
      </w:r>
      <w:r>
        <w:rPr>
          <w:rFonts w:ascii="Microsoft YaHei UI" w:eastAsia="Microsoft YaHei UI" w:hAnsi="Microsoft YaHei UI" w:hint="eastAsia"/>
          <w:color w:val="333333"/>
          <w:spacing w:val="8"/>
          <w:sz w:val="26"/>
          <w:szCs w:val="26"/>
        </w:rPr>
        <w:t> 省级学位委员会可组织具有博士学位授予权的高等学校，开展本科专业的学士学位授权自主审核工作，审核结果由省级学位委员会批准。</w:t>
      </w:r>
    </w:p>
    <w:p w14:paraId="3CDCA78E" w14:textId="171AA008" w:rsidR="00EC77C6" w:rsidRPr="00DF20E3" w:rsidRDefault="00EC77C6" w:rsidP="00EC77C6">
      <w:pPr>
        <w:pStyle w:val="a5"/>
        <w:spacing w:before="0" w:beforeAutospacing="0" w:after="0" w:afterAutospacing="0"/>
        <w:jc w:val="center"/>
        <w:rPr>
          <w:rFonts w:ascii="微软雅黑" w:eastAsia="微软雅黑" w:hAnsi="微软雅黑" w:hint="eastAsia"/>
          <w:sz w:val="28"/>
          <w:szCs w:val="28"/>
        </w:rPr>
      </w:pPr>
      <w:r w:rsidRPr="00DF20E3">
        <w:rPr>
          <w:rFonts w:ascii="微软雅黑" w:eastAsia="微软雅黑" w:hAnsi="微软雅黑" w:hint="eastAsia"/>
          <w:sz w:val="28"/>
          <w:szCs w:val="28"/>
        </w:rPr>
        <w:t>第</w:t>
      </w:r>
      <w:r w:rsidRPr="00DF20E3">
        <w:rPr>
          <w:rFonts w:ascii="微软雅黑" w:eastAsia="微软雅黑" w:hAnsi="微软雅黑" w:hint="eastAsia"/>
          <w:sz w:val="28"/>
          <w:szCs w:val="28"/>
        </w:rPr>
        <w:t>三</w:t>
      </w:r>
      <w:r w:rsidRPr="00DF20E3">
        <w:rPr>
          <w:rFonts w:ascii="微软雅黑" w:eastAsia="微软雅黑" w:hAnsi="微软雅黑" w:hint="eastAsia"/>
          <w:sz w:val="28"/>
          <w:szCs w:val="28"/>
        </w:rPr>
        <w:t>章 学位</w:t>
      </w:r>
      <w:r w:rsidRPr="00DF20E3">
        <w:rPr>
          <w:rFonts w:ascii="微软雅黑" w:eastAsia="微软雅黑" w:hAnsi="微软雅黑" w:hint="eastAsia"/>
          <w:sz w:val="28"/>
          <w:szCs w:val="28"/>
        </w:rPr>
        <w:t>授予</w:t>
      </w:r>
    </w:p>
    <w:p w14:paraId="43650B6C"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007AAA"/>
          <w:spacing w:val="8"/>
          <w:sz w:val="26"/>
          <w:szCs w:val="26"/>
        </w:rPr>
        <w:t>第十一条</w:t>
      </w:r>
      <w:r>
        <w:rPr>
          <w:rFonts w:ascii="Microsoft YaHei UI" w:eastAsia="Microsoft YaHei UI" w:hAnsi="Microsoft YaHei UI" w:hint="eastAsia"/>
          <w:color w:val="333333"/>
          <w:spacing w:val="8"/>
          <w:sz w:val="26"/>
          <w:szCs w:val="26"/>
        </w:rPr>
        <w:t> 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14:paraId="79AEF1DE"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第十二条 </w:t>
      </w:r>
      <w:r>
        <w:rPr>
          <w:rFonts w:ascii="Microsoft YaHei UI" w:eastAsia="Microsoft YaHei UI" w:hAnsi="Microsoft YaHei UI" w:hint="eastAsia"/>
          <w:color w:val="333333"/>
          <w:spacing w:val="8"/>
          <w:sz w:val="26"/>
          <w:szCs w:val="26"/>
        </w:rPr>
        <w:t>学士学位授予单位应制定本单位的学士学位授予标准，学位授予标准应落实立德树人根本任务，坚持正确育人导向，强化思想政治要求，符合《中华人民共和国学位条例》及其暂行实施办法的规定。</w:t>
      </w:r>
    </w:p>
    <w:p w14:paraId="5A456AFA"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lastRenderedPageBreak/>
        <w:t>第十三条 </w:t>
      </w:r>
      <w:r>
        <w:rPr>
          <w:rFonts w:ascii="Microsoft YaHei UI" w:eastAsia="Microsoft YaHei UI" w:hAnsi="Microsoft YaHei UI" w:hint="eastAsia"/>
          <w:color w:val="333333"/>
          <w:spacing w:val="8"/>
          <w:sz w:val="26"/>
          <w:szCs w:val="26"/>
        </w:rPr>
        <w:t>学士学位授予单位应明确本单位的学士学位授予程序。</w:t>
      </w:r>
    </w:p>
    <w:p w14:paraId="2A3A8D21"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（一）普通高等学校授予全日制本科毕业生学士学位的程序主要是：审查是否符合学士学位授予标准，符合标准的列入学士学位授予名单，学校学位评定委员会</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是否批准的决议。学校学位评定委员会表决通过的决议和学士学位授予名单应在校内公开，并报省级学位委员会备查。</w:t>
      </w:r>
    </w:p>
    <w:p w14:paraId="264213F2"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14:paraId="40F0030F"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（三）具有学士学位授予权的成人高等学校，授予学士学位的程序应符合本条第一款和第二款规定。</w:t>
      </w:r>
    </w:p>
    <w:p w14:paraId="1877BE1E"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第十四条</w:t>
      </w:r>
      <w:r>
        <w:rPr>
          <w:rFonts w:ascii="Microsoft YaHei UI" w:eastAsia="Microsoft YaHei UI" w:hAnsi="Microsoft YaHei UI" w:hint="eastAsia"/>
          <w:color w:val="333333"/>
          <w:spacing w:val="8"/>
          <w:sz w:val="26"/>
          <w:szCs w:val="26"/>
        </w:rPr>
        <w:t> 具有学士学位授予权的普通高等学校，可向本校符合学位授予标准的全日制本科毕业生授予辅修学士学位。授予辅修学士学位应制</w:t>
      </w:r>
      <w:proofErr w:type="gramStart"/>
      <w:r>
        <w:rPr>
          <w:rFonts w:ascii="Microsoft YaHei UI" w:eastAsia="Microsoft YaHei UI" w:hAnsi="Microsoft YaHei UI" w:hint="eastAsia"/>
          <w:color w:val="333333"/>
          <w:spacing w:val="8"/>
          <w:sz w:val="26"/>
          <w:szCs w:val="26"/>
        </w:rPr>
        <w:t>定专门</w:t>
      </w:r>
      <w:proofErr w:type="gramEnd"/>
      <w:r>
        <w:rPr>
          <w:rFonts w:ascii="Microsoft YaHei UI" w:eastAsia="Microsoft YaHei UI" w:hAnsi="Microsoft YaHei UI" w:hint="eastAsia"/>
          <w:color w:val="333333"/>
          <w:spacing w:val="8"/>
          <w:sz w:val="26"/>
          <w:szCs w:val="26"/>
        </w:rPr>
        <w:t>的实施办法，对课程要求及学位论文（或毕业设计）</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14:paraId="608E8453"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lastRenderedPageBreak/>
        <w:t>第十五条</w:t>
      </w:r>
      <w:r>
        <w:rPr>
          <w:rFonts w:ascii="Microsoft YaHei UI" w:eastAsia="Microsoft YaHei UI" w:hAnsi="Microsoft YaHei UI" w:hint="eastAsia"/>
          <w:color w:val="333333"/>
          <w:spacing w:val="8"/>
          <w:sz w:val="26"/>
          <w:szCs w:val="26"/>
        </w:rPr>
        <w:t> 具有学士学位授予权的普通高等学校，可在本校全日制本科学生中设立双学士学位复合型人才培养项目。项目必须坚持高起点、高标准、高质量，所依托的学科专业应具有博士学位授予权，且分属两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14:paraId="3AE7C489"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第十六条 </w:t>
      </w:r>
      <w:r>
        <w:rPr>
          <w:rFonts w:ascii="Microsoft YaHei UI" w:eastAsia="Microsoft YaHei UI" w:hAnsi="Microsoft YaHei UI" w:hint="eastAsia"/>
          <w:color w:val="333333"/>
          <w:spacing w:val="8"/>
          <w:sz w:val="26"/>
          <w:szCs w:val="26"/>
        </w:rPr>
        <w:t>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14:paraId="02D2EDC9" w14:textId="21ECE461"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007AAA"/>
          <w:spacing w:val="8"/>
          <w:sz w:val="26"/>
          <w:szCs w:val="26"/>
        </w:rPr>
        <w:t>第十七条</w:t>
      </w:r>
      <w:r>
        <w:rPr>
          <w:rFonts w:ascii="Microsoft YaHei UI" w:eastAsia="Microsoft YaHei UI" w:hAnsi="Microsoft YaHei UI" w:hint="eastAsia"/>
          <w:color w:val="333333"/>
          <w:spacing w:val="8"/>
          <w:sz w:val="26"/>
          <w:szCs w:val="26"/>
        </w:rPr>
        <w:t> 学士学位授予单位可按一定比例对特别优秀的学士学位获得者予以表彰，并颁发相应的荣誉证书或奖励证书。</w:t>
      </w:r>
    </w:p>
    <w:p w14:paraId="18022CAA" w14:textId="737A0FE5" w:rsidR="00EC77C6" w:rsidRPr="00DF20E3" w:rsidRDefault="00EC77C6" w:rsidP="00EC77C6">
      <w:pPr>
        <w:pStyle w:val="a5"/>
        <w:spacing w:before="0" w:beforeAutospacing="0" w:after="0" w:afterAutospacing="0"/>
        <w:jc w:val="center"/>
        <w:rPr>
          <w:rFonts w:ascii="微软雅黑" w:eastAsia="微软雅黑" w:hAnsi="微软雅黑" w:hint="eastAsia"/>
          <w:sz w:val="28"/>
          <w:szCs w:val="28"/>
        </w:rPr>
      </w:pPr>
      <w:r w:rsidRPr="00DF20E3">
        <w:rPr>
          <w:rFonts w:ascii="微软雅黑" w:eastAsia="微软雅黑" w:hAnsi="微软雅黑" w:hint="eastAsia"/>
          <w:sz w:val="28"/>
          <w:szCs w:val="28"/>
        </w:rPr>
        <w:t>第</w:t>
      </w:r>
      <w:r w:rsidRPr="00DF20E3">
        <w:rPr>
          <w:rFonts w:ascii="微软雅黑" w:eastAsia="微软雅黑" w:hAnsi="微软雅黑" w:hint="eastAsia"/>
          <w:sz w:val="28"/>
          <w:szCs w:val="28"/>
        </w:rPr>
        <w:t>四</w:t>
      </w:r>
      <w:r w:rsidRPr="00DF20E3">
        <w:rPr>
          <w:rFonts w:ascii="微软雅黑" w:eastAsia="微软雅黑" w:hAnsi="微软雅黑" w:hint="eastAsia"/>
          <w:sz w:val="28"/>
          <w:szCs w:val="28"/>
        </w:rPr>
        <w:t xml:space="preserve">章 </w:t>
      </w:r>
      <w:r w:rsidRPr="00DF20E3">
        <w:rPr>
          <w:rFonts w:ascii="微软雅黑" w:eastAsia="微软雅黑" w:hAnsi="微软雅黑" w:hint="eastAsia"/>
          <w:sz w:val="28"/>
          <w:szCs w:val="28"/>
        </w:rPr>
        <w:t>管理与监督</w:t>
      </w:r>
    </w:p>
    <w:p w14:paraId="64DF23B7"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007AAA"/>
          <w:spacing w:val="8"/>
          <w:sz w:val="26"/>
          <w:szCs w:val="26"/>
        </w:rPr>
        <w:t>第十八条</w:t>
      </w:r>
      <w:r>
        <w:rPr>
          <w:rFonts w:ascii="Microsoft YaHei UI" w:eastAsia="Microsoft YaHei UI" w:hAnsi="Microsoft YaHei UI" w:hint="eastAsia"/>
          <w:color w:val="333333"/>
          <w:spacing w:val="8"/>
          <w:sz w:val="26"/>
          <w:szCs w:val="26"/>
        </w:rPr>
        <w:t> 国务院学位委员会负责学士学位的宏观政策、发展指导、质量监督和信息管理等工作，完善学位授予信息系统，及时准确发布学位授予信息</w:t>
      </w:r>
      <w:bookmarkStart w:id="1" w:name="_GoBack"/>
      <w:bookmarkEnd w:id="1"/>
      <w:r>
        <w:rPr>
          <w:rFonts w:ascii="Microsoft YaHei UI" w:eastAsia="Microsoft YaHei UI" w:hAnsi="Microsoft YaHei UI" w:hint="eastAsia"/>
          <w:color w:val="333333"/>
          <w:spacing w:val="8"/>
          <w:sz w:val="26"/>
          <w:szCs w:val="26"/>
        </w:rPr>
        <w:t>，为社会、学生查询提供便利。</w:t>
      </w:r>
    </w:p>
    <w:p w14:paraId="0C734B63" w14:textId="53421BB8" w:rsidR="00EC77C6" w:rsidRP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lastRenderedPageBreak/>
        <w:t>第十九条</w:t>
      </w:r>
      <w:r>
        <w:rPr>
          <w:rFonts w:ascii="Microsoft YaHei UI" w:eastAsia="Microsoft YaHei UI" w:hAnsi="Microsoft YaHei UI" w:hint="eastAsia"/>
          <w:color w:val="333333"/>
          <w:spacing w:val="8"/>
          <w:sz w:val="26"/>
          <w:szCs w:val="26"/>
        </w:rPr>
        <w:t> 省级学位委员会负责本地区、本系统学士学位管理、监督和信息工作，科学规划，优化布局，引导、指导、督导学位授予单位服务需求、提高质量、特色发展，定期向国务院学位委员会报送学位授予信息</w:t>
      </w:r>
      <w:r>
        <w:rPr>
          <w:rFonts w:ascii="Microsoft YaHei UI" w:eastAsia="Microsoft YaHei UI" w:hAnsi="Microsoft YaHei UI" w:hint="eastAsia"/>
          <w:color w:val="333333"/>
          <w:spacing w:val="8"/>
          <w:sz w:val="26"/>
          <w:szCs w:val="26"/>
        </w:rPr>
        <w:t>。</w:t>
      </w:r>
    </w:p>
    <w:p w14:paraId="3E1FBFD3"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第二十条</w:t>
      </w:r>
      <w:r>
        <w:rPr>
          <w:rFonts w:ascii="Microsoft YaHei UI" w:eastAsia="Microsoft YaHei UI" w:hAnsi="Microsoft YaHei UI" w:hint="eastAsia"/>
          <w:color w:val="333333"/>
          <w:spacing w:val="8"/>
          <w:sz w:val="26"/>
          <w:szCs w:val="26"/>
        </w:rPr>
        <w:t>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省级学位委员会报送信息。</w:t>
      </w:r>
    </w:p>
    <w:p w14:paraId="4D995454"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第二十一条</w:t>
      </w:r>
      <w:r>
        <w:rPr>
          <w:rFonts w:ascii="Microsoft YaHei UI" w:eastAsia="Microsoft YaHei UI" w:hAnsi="Microsoft YaHei UI" w:hint="eastAsia"/>
          <w:color w:val="333333"/>
          <w:spacing w:val="8"/>
          <w:sz w:val="26"/>
          <w:szCs w:val="26"/>
        </w:rPr>
        <w:t> 省级学位委员会应主动公开本地区、本系统学士学位相关信息，每年定期公开发布学士学位授予单位和授权专业名单。</w:t>
      </w:r>
    </w:p>
    <w:p w14:paraId="05C3DFB8"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第二十二条</w:t>
      </w:r>
      <w:r>
        <w:rPr>
          <w:rFonts w:ascii="Microsoft YaHei UI" w:eastAsia="Microsoft YaHei UI" w:hAnsi="Microsoft YaHei UI" w:hint="eastAsia"/>
          <w:color w:val="333333"/>
          <w:spacing w:val="8"/>
          <w:sz w:val="26"/>
          <w:szCs w:val="26"/>
        </w:rPr>
        <w:t> 国务院学位委员会将学士学位质量监督纳入到学位质量保障体系。省级学位委员会应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14:paraId="75552E6D" w14:textId="79667201"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007AAA"/>
          <w:spacing w:val="8"/>
          <w:sz w:val="26"/>
          <w:szCs w:val="26"/>
        </w:rPr>
        <w:lastRenderedPageBreak/>
        <w:t>第二十三条</w:t>
      </w:r>
      <w:r>
        <w:rPr>
          <w:rFonts w:ascii="Microsoft YaHei UI" w:eastAsia="Microsoft YaHei UI" w:hAnsi="Microsoft YaHei UI" w:hint="eastAsia"/>
          <w:color w:val="333333"/>
          <w:spacing w:val="8"/>
          <w:sz w:val="26"/>
          <w:szCs w:val="26"/>
        </w:rPr>
        <w:t> 学士学位授予单位应建立相应的学位授予救济制度，处理申请、授予、撤销等过程中出现的异议，建立申诉复议通道，保障学生权益。</w:t>
      </w:r>
    </w:p>
    <w:p w14:paraId="64D63475" w14:textId="70C4FC9B" w:rsidR="00EC77C6" w:rsidRPr="00DF20E3" w:rsidRDefault="00EC77C6" w:rsidP="00EC77C6">
      <w:pPr>
        <w:pStyle w:val="a5"/>
        <w:spacing w:before="0" w:beforeAutospacing="0" w:after="0" w:afterAutospacing="0"/>
        <w:jc w:val="center"/>
        <w:rPr>
          <w:rFonts w:ascii="微软雅黑" w:eastAsia="微软雅黑" w:hAnsi="微软雅黑" w:hint="eastAsia"/>
          <w:sz w:val="28"/>
          <w:szCs w:val="28"/>
        </w:rPr>
      </w:pPr>
      <w:r w:rsidRPr="00DF20E3">
        <w:rPr>
          <w:rFonts w:ascii="微软雅黑" w:eastAsia="微软雅黑" w:hAnsi="微软雅黑" w:hint="eastAsia"/>
          <w:sz w:val="28"/>
          <w:szCs w:val="28"/>
        </w:rPr>
        <w:t>第</w:t>
      </w:r>
      <w:r w:rsidRPr="00DF20E3">
        <w:rPr>
          <w:rFonts w:ascii="微软雅黑" w:eastAsia="微软雅黑" w:hAnsi="微软雅黑" w:hint="eastAsia"/>
          <w:sz w:val="28"/>
          <w:szCs w:val="28"/>
        </w:rPr>
        <w:t>五</w:t>
      </w:r>
      <w:r w:rsidRPr="00DF20E3">
        <w:rPr>
          <w:rFonts w:ascii="微软雅黑" w:eastAsia="微软雅黑" w:hAnsi="微软雅黑" w:hint="eastAsia"/>
          <w:sz w:val="28"/>
          <w:szCs w:val="28"/>
        </w:rPr>
        <w:t xml:space="preserve">章 </w:t>
      </w:r>
      <w:r w:rsidRPr="00DF20E3">
        <w:rPr>
          <w:rFonts w:ascii="微软雅黑" w:eastAsia="微软雅黑" w:hAnsi="微软雅黑" w:hint="eastAsia"/>
          <w:sz w:val="28"/>
          <w:szCs w:val="28"/>
        </w:rPr>
        <w:t>附则</w:t>
      </w:r>
    </w:p>
    <w:p w14:paraId="496A4A81"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007AAA"/>
          <w:spacing w:val="8"/>
          <w:sz w:val="26"/>
          <w:szCs w:val="26"/>
        </w:rPr>
        <w:t>第二十四条 </w:t>
      </w:r>
      <w:r>
        <w:rPr>
          <w:rFonts w:ascii="Microsoft YaHei UI" w:eastAsia="Microsoft YaHei UI" w:hAnsi="Microsoft YaHei UI" w:hint="eastAsia"/>
          <w:color w:val="333333"/>
          <w:spacing w:val="8"/>
          <w:sz w:val="26"/>
          <w:szCs w:val="26"/>
        </w:rPr>
        <w:t>高等学校与境外机构合作办学授予外方学士学位的，按《中外合作办学条例》执行。</w:t>
      </w:r>
    </w:p>
    <w:p w14:paraId="0FFEF85A" w14:textId="77777777" w:rsid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第二十五条</w:t>
      </w:r>
      <w:r>
        <w:rPr>
          <w:rFonts w:ascii="Microsoft YaHei UI" w:eastAsia="Microsoft YaHei UI" w:hAnsi="Microsoft YaHei UI" w:hint="eastAsia"/>
          <w:color w:val="333333"/>
          <w:spacing w:val="8"/>
          <w:sz w:val="26"/>
          <w:szCs w:val="26"/>
        </w:rPr>
        <w:t> 自本办法实施之日起，学位授予单位不再招收第二学士学位生。</w:t>
      </w:r>
    </w:p>
    <w:p w14:paraId="424A0939" w14:textId="2A2E40DB" w:rsidR="00EC77C6" w:rsidRP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6"/>
          <w:rFonts w:ascii="Microsoft YaHei UI" w:eastAsia="Microsoft YaHei UI" w:hAnsi="Microsoft YaHei UI" w:hint="eastAsia"/>
          <w:color w:val="007AAA"/>
          <w:spacing w:val="8"/>
          <w:sz w:val="26"/>
          <w:szCs w:val="26"/>
        </w:rPr>
        <w:t>第二十六条</w:t>
      </w:r>
      <w:r>
        <w:rPr>
          <w:rFonts w:ascii="Microsoft YaHei UI" w:eastAsia="Microsoft YaHei UI" w:hAnsi="Microsoft YaHei UI" w:hint="eastAsia"/>
          <w:color w:val="333333"/>
          <w:spacing w:val="8"/>
          <w:sz w:val="26"/>
          <w:szCs w:val="26"/>
        </w:rPr>
        <w:t> 本办法由国务院学位委员会负责解释。</w:t>
      </w:r>
    </w:p>
    <w:p w14:paraId="72617C64" w14:textId="77777777" w:rsidR="00EC77C6" w:rsidRPr="00EC77C6" w:rsidRDefault="00EC77C6" w:rsidP="00EC77C6">
      <w:pPr>
        <w:pStyle w:val="a5"/>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2"/>
          <w:szCs w:val="22"/>
        </w:rPr>
      </w:pPr>
    </w:p>
    <w:bookmarkEnd w:id="0"/>
    <w:p w14:paraId="452BC8BE" w14:textId="6643C689" w:rsidR="006E60E2" w:rsidRPr="00EC77C6" w:rsidRDefault="006E60E2" w:rsidP="00EC77C6">
      <w:pPr>
        <w:jc w:val="center"/>
        <w:rPr>
          <w:b/>
          <w:bCs/>
        </w:rPr>
      </w:pPr>
    </w:p>
    <w:sectPr w:rsidR="006E60E2" w:rsidRPr="00EC7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81"/>
    <w:rsid w:val="00423D05"/>
    <w:rsid w:val="006C0FAA"/>
    <w:rsid w:val="006E60E2"/>
    <w:rsid w:val="0076640A"/>
    <w:rsid w:val="009E3F69"/>
    <w:rsid w:val="00AA0CBE"/>
    <w:rsid w:val="00B239AD"/>
    <w:rsid w:val="00B30540"/>
    <w:rsid w:val="00B30B36"/>
    <w:rsid w:val="00B92581"/>
    <w:rsid w:val="00BF0087"/>
    <w:rsid w:val="00CF5E04"/>
    <w:rsid w:val="00DF20E3"/>
    <w:rsid w:val="00EA6432"/>
    <w:rsid w:val="00EC77C6"/>
    <w:rsid w:val="00F03BBC"/>
    <w:rsid w:val="00FD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0EAB"/>
  <w15:chartTrackingRefBased/>
  <w15:docId w15:val="{FBE2A428-8E7F-4871-9F9F-80A4A565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0E2"/>
    <w:rPr>
      <w:sz w:val="18"/>
      <w:szCs w:val="18"/>
    </w:rPr>
  </w:style>
  <w:style w:type="character" w:customStyle="1" w:styleId="a4">
    <w:name w:val="批注框文本 字符"/>
    <w:basedOn w:val="a0"/>
    <w:link w:val="a3"/>
    <w:uiPriority w:val="99"/>
    <w:semiHidden/>
    <w:rsid w:val="006E60E2"/>
    <w:rPr>
      <w:sz w:val="18"/>
      <w:szCs w:val="18"/>
    </w:rPr>
  </w:style>
  <w:style w:type="paragraph" w:styleId="a5">
    <w:name w:val="Normal (Web)"/>
    <w:basedOn w:val="a"/>
    <w:uiPriority w:val="99"/>
    <w:semiHidden/>
    <w:unhideWhenUsed/>
    <w:rsid w:val="00EC77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C7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4249">
      <w:bodyDiv w:val="1"/>
      <w:marLeft w:val="0"/>
      <w:marRight w:val="0"/>
      <w:marTop w:val="0"/>
      <w:marBottom w:val="0"/>
      <w:divBdr>
        <w:top w:val="none" w:sz="0" w:space="0" w:color="auto"/>
        <w:left w:val="none" w:sz="0" w:space="0" w:color="auto"/>
        <w:bottom w:val="none" w:sz="0" w:space="0" w:color="auto"/>
        <w:right w:val="none" w:sz="0" w:space="0" w:color="auto"/>
      </w:divBdr>
    </w:div>
    <w:div w:id="1047603005">
      <w:bodyDiv w:val="1"/>
      <w:marLeft w:val="0"/>
      <w:marRight w:val="0"/>
      <w:marTop w:val="0"/>
      <w:marBottom w:val="0"/>
      <w:divBdr>
        <w:top w:val="none" w:sz="0" w:space="0" w:color="auto"/>
        <w:left w:val="none" w:sz="0" w:space="0" w:color="auto"/>
        <w:bottom w:val="none" w:sz="0" w:space="0" w:color="auto"/>
        <w:right w:val="none" w:sz="0" w:space="0" w:color="auto"/>
      </w:divBdr>
    </w:div>
    <w:div w:id="1110054103">
      <w:bodyDiv w:val="1"/>
      <w:marLeft w:val="0"/>
      <w:marRight w:val="0"/>
      <w:marTop w:val="0"/>
      <w:marBottom w:val="0"/>
      <w:divBdr>
        <w:top w:val="none" w:sz="0" w:space="0" w:color="auto"/>
        <w:left w:val="none" w:sz="0" w:space="0" w:color="auto"/>
        <w:bottom w:val="none" w:sz="0" w:space="0" w:color="auto"/>
        <w:right w:val="none" w:sz="0" w:space="0" w:color="auto"/>
      </w:divBdr>
    </w:div>
    <w:div w:id="1181042530">
      <w:bodyDiv w:val="1"/>
      <w:marLeft w:val="0"/>
      <w:marRight w:val="0"/>
      <w:marTop w:val="0"/>
      <w:marBottom w:val="0"/>
      <w:divBdr>
        <w:top w:val="none" w:sz="0" w:space="0" w:color="auto"/>
        <w:left w:val="none" w:sz="0" w:space="0" w:color="auto"/>
        <w:bottom w:val="none" w:sz="0" w:space="0" w:color="auto"/>
        <w:right w:val="none" w:sz="0" w:space="0" w:color="auto"/>
      </w:divBdr>
    </w:div>
    <w:div w:id="1437018410">
      <w:bodyDiv w:val="1"/>
      <w:marLeft w:val="0"/>
      <w:marRight w:val="0"/>
      <w:marTop w:val="0"/>
      <w:marBottom w:val="0"/>
      <w:divBdr>
        <w:top w:val="none" w:sz="0" w:space="0" w:color="auto"/>
        <w:left w:val="none" w:sz="0" w:space="0" w:color="auto"/>
        <w:bottom w:val="none" w:sz="0" w:space="0" w:color="auto"/>
        <w:right w:val="none" w:sz="0" w:space="0" w:color="auto"/>
      </w:divBdr>
    </w:div>
    <w:div w:id="19320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dc:creator>
  <cp:keywords/>
  <dc:description/>
  <cp:lastModifiedBy>xiong</cp:lastModifiedBy>
  <cp:revision>8</cp:revision>
  <cp:lastPrinted>2019-11-26T02:54:00Z</cp:lastPrinted>
  <dcterms:created xsi:type="dcterms:W3CDTF">2019-11-26T02:22:00Z</dcterms:created>
  <dcterms:modified xsi:type="dcterms:W3CDTF">2019-12-04T03:18:00Z</dcterms:modified>
</cp:coreProperties>
</file>