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outlineLvl w:val="0"/>
        <w:rPr>
          <w:rFonts w:hint="eastAsia" w:ascii="黑体" w:hAnsi="黑体" w:eastAsia="黑体" w:cs="黑体"/>
          <w:bCs/>
          <w:color w:val="000000"/>
          <w:kern w:val="0"/>
          <w:sz w:val="32"/>
          <w:szCs w:val="28"/>
        </w:rPr>
      </w:pPr>
    </w:p>
    <w:p>
      <w:pPr>
        <w:spacing w:line="560" w:lineRule="exact"/>
        <w:jc w:val="left"/>
        <w:outlineLvl w:val="0"/>
        <w:rPr>
          <w:rFonts w:hint="eastAsia" w:ascii="黑体" w:hAnsi="黑体" w:eastAsia="黑体" w:cs="黑体"/>
          <w:bCs/>
          <w:color w:val="000000"/>
          <w:kern w:val="0"/>
          <w:sz w:val="32"/>
          <w:szCs w:val="28"/>
        </w:rPr>
      </w:pPr>
      <w:r>
        <w:rPr>
          <w:rFonts w:hint="eastAsia" w:ascii="黑体" w:hAnsi="黑体" w:eastAsia="黑体" w:cs="黑体"/>
          <w:bCs/>
          <w:color w:val="000000"/>
          <w:kern w:val="0"/>
          <w:sz w:val="32"/>
          <w:szCs w:val="28"/>
        </w:rPr>
        <w:t>附件1</w:t>
      </w:r>
      <w:bookmarkStart w:id="0" w:name="OLE_LINK3"/>
    </w:p>
    <w:p>
      <w:pPr>
        <w:spacing w:line="560" w:lineRule="exact"/>
        <w:jc w:val="center"/>
        <w:outlineLvl w:val="0"/>
        <w:rPr>
          <w:rFonts w:hint="eastAsia" w:ascii="方正小标宋简体" w:hAnsi="宋体" w:eastAsia="方正小标宋简体"/>
          <w:sz w:val="36"/>
          <w:szCs w:val="36"/>
        </w:rPr>
      </w:pPr>
      <w:r>
        <w:rPr>
          <w:rFonts w:hint="eastAsia" w:ascii="方正小标宋简体" w:hAnsi="宋体" w:eastAsia="方正小标宋简体"/>
          <w:sz w:val="36"/>
          <w:szCs w:val="36"/>
        </w:rPr>
        <w:t>2025年教学改革研究项目指南</w:t>
      </w:r>
    </w:p>
    <w:bookmarkEnd w:id="0"/>
    <w:p>
      <w:pPr>
        <w:adjustRightInd w:val="0"/>
        <w:snapToGrid w:val="0"/>
        <w:spacing w:line="560" w:lineRule="exact"/>
        <w:ind w:firstLine="640" w:firstLineChars="200"/>
        <w:rPr>
          <w:rFonts w:hint="eastAsia" w:ascii="黑体" w:hAnsi="黑体" w:eastAsia="黑体"/>
          <w:sz w:val="32"/>
          <w:szCs w:val="32"/>
        </w:rPr>
      </w:pPr>
      <w:r>
        <w:rPr>
          <w:rFonts w:hint="eastAsia" w:ascii="黑体" w:hAnsi="黑体" w:eastAsia="黑体"/>
          <w:sz w:val="32"/>
          <w:szCs w:val="32"/>
        </w:rPr>
        <w:t>一、高等教育发展战略及体制机制研究</w:t>
      </w:r>
    </w:p>
    <w:p>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1.高等教育发展战略及高校体制机制改革研究</w:t>
      </w:r>
    </w:p>
    <w:p>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结合高等教育发展趋势和我省实际，开展湖北高等教育发展战略研究和湖北高等教育竞争力研究；湖北省高等教育规模、结构、质量、效益协调发展和可持续发展机制的研究与实践；湖北省高等教育内涵发展的路径研究；湖北省高等学校分类管理研究；高等学校办学定位与办学特色研究；高等学校创新产学研合作机制研究；高等学校科教融汇机制研究；高等教育人才培养与经济社会发展需要适配机制研究；高校治理体系和治理能力现代化研究；东中西部高校协作、对口支援提升办学能力方面研究；民办高校、独立学院的体制和运行机制的研究与实践；成人高等学历教育、自学考试学历教育人才培养目标定位、培养模式、质量保障体制机制研究。</w:t>
      </w:r>
    </w:p>
    <w:p>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2.高等教育综合改革试点研究</w:t>
      </w:r>
    </w:p>
    <w:p>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对接国家人才高地和人才聚集平台建设布局，开展“两个先行先试”，分类推进突破性牵引改革、创新性试点改革、筑基性体系关键性政策改革等方面改革创新研究与实践；强化有组织人才培养、有组织科技创新、有组织服务国家和区域发展，凝练总结可复制可推广的体制机制和组织形态创新经验，牵引带动高等教育深层次、全方位改革创新发展方面的创新研究与实践。</w:t>
      </w:r>
    </w:p>
    <w:p>
      <w:pPr>
        <w:adjustRightInd w:val="0"/>
        <w:snapToGrid w:val="0"/>
        <w:spacing w:line="560" w:lineRule="exact"/>
        <w:ind w:firstLine="640" w:firstLineChars="200"/>
        <w:rPr>
          <w:rFonts w:hint="eastAsia" w:ascii="黑体" w:hAnsi="黑体" w:eastAsia="黑体"/>
          <w:sz w:val="32"/>
          <w:szCs w:val="32"/>
        </w:rPr>
      </w:pPr>
      <w:r>
        <w:rPr>
          <w:rFonts w:hint="eastAsia" w:ascii="黑体" w:hAnsi="黑体" w:eastAsia="黑体"/>
          <w:sz w:val="32"/>
          <w:szCs w:val="32"/>
        </w:rPr>
        <w:t>二、“大思政”育人格局研究</w:t>
      </w:r>
    </w:p>
    <w:p>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3.“大思政课”教育改革研究</w:t>
      </w:r>
    </w:p>
    <w:p>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高校在深化“大思政课”教育教学改革，推进习近平新时代中国特色社会主义思想融入专业教育全过程等方面改革与研究；推进习近平法治思想“三进”等方面研究；“马工程”重点教材的应用与研究等；高校在系统推进新时代中国特色社会主义教育、社会主义核心价值观教育、法治教育、劳动教育、心理健康教育、中华优秀传统文化教育等研究与实践。</w:t>
      </w:r>
    </w:p>
    <w:p>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4.课程思政研究</w:t>
      </w:r>
    </w:p>
    <w:p>
      <w:pPr>
        <w:adjustRightInd w:val="0"/>
        <w:snapToGrid w:val="0"/>
        <w:spacing w:line="560" w:lineRule="exact"/>
        <w:ind w:firstLine="640" w:firstLineChars="200"/>
        <w:rPr>
          <w:rFonts w:hint="eastAsia" w:ascii="楷体_GB2312" w:hAnsi="仿宋" w:eastAsia="仿宋_GB2312"/>
          <w:b/>
          <w:sz w:val="32"/>
          <w:szCs w:val="32"/>
        </w:rPr>
      </w:pPr>
      <w:r>
        <w:rPr>
          <w:rFonts w:hint="eastAsia" w:ascii="仿宋" w:hAnsi="仿宋" w:eastAsia="仿宋_GB2312"/>
          <w:sz w:val="32"/>
          <w:szCs w:val="32"/>
        </w:rPr>
        <w:t>新时代高校课程思政教学模式创新探索；结合学科专业特点完善专业类课程思政教学指南，推进思政元素融入课程教学的改革和创新研究；课程思政融入课堂教学全过程的方法途径探索与实践；推进教师思政能力建设的机制研究；课程思政建设质量评价体系和激励机制的探索与研究等。</w:t>
      </w:r>
    </w:p>
    <w:p>
      <w:pPr>
        <w:adjustRightInd w:val="0"/>
        <w:snapToGrid w:val="0"/>
        <w:spacing w:line="560" w:lineRule="exact"/>
        <w:ind w:firstLine="640" w:firstLineChars="200"/>
        <w:rPr>
          <w:rFonts w:hint="eastAsia" w:ascii="黑体" w:hAnsi="黑体" w:eastAsia="黑体"/>
          <w:sz w:val="32"/>
          <w:szCs w:val="32"/>
        </w:rPr>
      </w:pPr>
      <w:r>
        <w:rPr>
          <w:rFonts w:hint="eastAsia" w:ascii="黑体" w:hAnsi="黑体" w:eastAsia="黑体"/>
          <w:sz w:val="32"/>
          <w:szCs w:val="32"/>
        </w:rPr>
        <w:t>三、人才培养模式机制改革研究</w:t>
      </w:r>
    </w:p>
    <w:p>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5.人才培养模式改革与创新研究</w:t>
      </w:r>
    </w:p>
    <w:p>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科技发展、国家战略需求导向的人才培养模式改革；科研与教学融汇协同育人模式创新与探索；产学研用协同育人模式研究与实践；各类拔尖创新型、卓越人才培养模式改革与创新研究；高校拔尖创业人才培养体系构建与实践；基础学科拔尖创新人才培养创新与实践；高校实施中学生英才计划方面的研究与实践；国际视野及国际化人才培养模式的研究与实践；“3+2”本科与高职联合培养模式研究；高校素质教育教学内容与体系建设研究；基于学生自主学习能力培养和个性化教学的人才培养模式研究与实践等。</w:t>
      </w:r>
    </w:p>
    <w:p>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6.本科教育教学制度改革研究与实践</w:t>
      </w:r>
    </w:p>
    <w:p>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加强校际学分互认与转化实践等教育教学制度改革研究与实践；围绕辅修课程体系、学分标准和学士学位授予标准等开展辅修专业制度改革与实践，建立健全与主辅修制度相适应的联动机制的研究与实践；双学士学位人才培养试点、第二学士学位教学改革与管理制度研究；跨校联合人才培养、区域教学联合体、省部高校共建及对口支持协作等建设与研究；高校间优质教学资源的建设与共享机制研究；高等教育国际合作办学机制和培养模式的理论与实践研究等。</w:t>
      </w:r>
    </w:p>
    <w:p>
      <w:pPr>
        <w:adjustRightInd w:val="0"/>
        <w:snapToGrid w:val="0"/>
        <w:spacing w:line="560" w:lineRule="exact"/>
        <w:ind w:firstLine="640" w:firstLineChars="200"/>
        <w:rPr>
          <w:rFonts w:hint="eastAsia" w:ascii="黑体" w:hAnsi="黑体" w:eastAsia="黑体"/>
          <w:sz w:val="32"/>
          <w:szCs w:val="32"/>
        </w:rPr>
      </w:pPr>
      <w:r>
        <w:rPr>
          <w:rFonts w:hint="eastAsia" w:ascii="黑体" w:hAnsi="黑体" w:eastAsia="黑体"/>
          <w:sz w:val="32"/>
          <w:szCs w:val="32"/>
        </w:rPr>
        <w:t>四、“四新”建设改革与实践研究</w:t>
      </w:r>
    </w:p>
    <w:p>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7.新工科研究与改革实践</w:t>
      </w:r>
    </w:p>
    <w:p>
      <w:pPr>
        <w:pStyle w:val="4"/>
        <w:widowControl/>
        <w:shd w:val="clear" w:color="auto" w:fill="FFFFFF"/>
        <w:spacing w:beforeAutospacing="0" w:afterAutospacing="0" w:line="560" w:lineRule="exact"/>
        <w:ind w:firstLine="640" w:firstLineChars="200"/>
        <w:rPr>
          <w:rFonts w:hint="eastAsia" w:ascii="楷体_GB2312" w:hAnsi="仿宋" w:eastAsia="楷体_GB2312"/>
          <w:b/>
          <w:sz w:val="32"/>
          <w:szCs w:val="32"/>
        </w:rPr>
      </w:pPr>
      <w:r>
        <w:rPr>
          <w:rFonts w:hint="eastAsia" w:ascii="仿宋" w:hAnsi="仿宋" w:eastAsia="仿宋_GB2312" w:cstheme="minorBidi"/>
          <w:kern w:val="2"/>
          <w:sz w:val="32"/>
          <w:szCs w:val="32"/>
        </w:rPr>
        <w:t>工程教育的新理念：结合工程教育发展的历史与现实、国内外工程教育改革的经验和教训，分析研究新工科的内涵、特征、规律和发展趋势等，提出工程教育改革创新的理念和思路；学科专业的新结构：面向新经济发展需要、面向未来、面向世界，开展新兴工科专业的研究与探索，对传统工科专业进行更新升级等；人才培养的新模式：在总结卓越工程师教育培养计划、CDIO等工程教育人才培养模式改革经验的基础上，开展深化产教融合、校企合作的体制机制和人才培养模式改革研究和实践；教育教学的新质量：在完善中国特色、国际实质等效的工程教育专业认证制度的基础上，研究制订新兴工科专业教学质量标准，开展多维度的教育教学质量评价等。分类发展的新体系：分析研究高校分类发展、工程人才分类培养的体系结构，提出推进工程教育办出特色和水平的宏观政策、组织体系和运行机制等。</w:t>
      </w:r>
    </w:p>
    <w:p>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8.新医科研究与改革实践</w:t>
      </w:r>
    </w:p>
    <w:p>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深化医教协同体制机制研究；卓越医师人才培养研究与实践；医教协同的临床医学人才培养改革与实践；新医科人才培养跨学科培养平台、跨学科课程模块建设研究与实践；全科医师培养研究与实践；中医师承关系培养改革与实践；医学人才专业结构、人才类型结构与区域经济结构相衔接的研究；医学教育课程体系研究；医药卫生体制改革与医学教育协调发展的研究；医学教育实践教学体系及实践教学内容、方法和手段改革的研究；新医科教材体系建设研究；医学生职业能力与职业素养养成研究；附属医院、临床教学基地建设方面研究；相关医学教学改革建设推进机制研究。</w:t>
      </w:r>
    </w:p>
    <w:p>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9.新农科研究与改革实践</w:t>
      </w:r>
    </w:p>
    <w:p>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新农科建设改革与发展研究；新农科建设政策与支撑体系研究；基于四个面向的知农爱农新型人才需求研究；新型农林人才核心能力体系研究；新农科建设绩效评价研究；新兴涉农专业建设探索与实践；传统涉农专业改造提升改革与实践；面向新农科的农林类专业三级认证体系构建；农林类一流专业建设标准研制；农林人才思政教育与“大国三农”教育实践；新农科多样化人才培养模式创新实践；多学科交叉融合的农林人才培养模式机制创新实践；新农科课程体系与教材建设；面向基层的新型农林人才培养实践；面向新农科的实践教育体系构建；农林创新创业教育与实践；农林类一流课程建设标准研究；一校一所科教协同育人探索与实践；服务乡村振兴战略模式研究与实践；高等农林教育国际化研究与实践。</w:t>
      </w:r>
    </w:p>
    <w:p>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10.新文科研究与改革实践</w:t>
      </w:r>
    </w:p>
    <w:p>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新文科建设发展理念与改革发展研究；新文科建设政策与支撑体系研究；新时代文科专业结构优化研究与实践；原有文科专业改造提升改革与实践；新兴文科专业建设探索与实践；新文科课程体系和教材体系建设实践；文科复合型人才培养创新与实践；高素质涉外人才培养创新与实践；新文科创新创业教育与实践；人文社科等领域实务型人才协同培养机制研究；文科专业类教学要点研究与实践；新时代大学英语教学改革研究实践；新闻、法学领域专业教师互聘互派与人才培养研究；实战型文科人才培养研究；新文科教师专业发展探索与实践；面向新文科的文科专业三级认证体系构建研究。</w:t>
      </w:r>
    </w:p>
    <w:p>
      <w:pPr>
        <w:adjustRightInd w:val="0"/>
        <w:snapToGrid w:val="0"/>
        <w:spacing w:line="560" w:lineRule="exact"/>
        <w:ind w:firstLine="640" w:firstLineChars="200"/>
        <w:rPr>
          <w:rFonts w:hint="eastAsia" w:ascii="黑体" w:hAnsi="黑体" w:eastAsia="黑体"/>
          <w:sz w:val="32"/>
          <w:szCs w:val="32"/>
        </w:rPr>
      </w:pPr>
      <w:r>
        <w:rPr>
          <w:rFonts w:hint="eastAsia" w:ascii="黑体" w:hAnsi="黑体" w:eastAsia="黑体"/>
          <w:sz w:val="32"/>
          <w:szCs w:val="32"/>
        </w:rPr>
        <w:t>五、教学“新基建”综合改革研究与实践</w:t>
      </w:r>
    </w:p>
    <w:p>
      <w:pPr>
        <w:adjustRightInd w:val="0"/>
        <w:snapToGrid w:val="0"/>
        <w:spacing w:line="560" w:lineRule="exact"/>
        <w:ind w:firstLine="643" w:firstLineChars="200"/>
        <w:rPr>
          <w:rFonts w:hint="eastAsia" w:ascii="楷体_GB2312" w:hAnsi="仿宋" w:eastAsia="楷体_GB2312"/>
          <w:b/>
          <w:sz w:val="32"/>
          <w:szCs w:val="32"/>
        </w:rPr>
      </w:pPr>
      <w:r>
        <w:rPr>
          <w:rFonts w:ascii="楷体_GB2312" w:hAnsi="仿宋" w:eastAsia="楷体_GB2312"/>
          <w:b/>
          <w:sz w:val="32"/>
          <w:szCs w:val="32"/>
        </w:rPr>
        <w:t>1</w:t>
      </w:r>
      <w:r>
        <w:rPr>
          <w:rFonts w:hint="eastAsia" w:ascii="楷体_GB2312" w:hAnsi="仿宋" w:eastAsia="楷体_GB2312"/>
          <w:b/>
          <w:sz w:val="32"/>
          <w:szCs w:val="32"/>
        </w:rPr>
        <w:t>1</w:t>
      </w:r>
      <w:r>
        <w:rPr>
          <w:rFonts w:ascii="楷体_GB2312" w:hAnsi="仿宋" w:eastAsia="楷体_GB2312"/>
          <w:b/>
          <w:sz w:val="32"/>
          <w:szCs w:val="32"/>
        </w:rPr>
        <w:t>.</w:t>
      </w:r>
      <w:r>
        <w:rPr>
          <w:rFonts w:hint="eastAsia" w:ascii="楷体_GB2312" w:hAnsi="仿宋" w:eastAsia="楷体_GB2312"/>
          <w:b/>
          <w:sz w:val="32"/>
          <w:szCs w:val="32"/>
        </w:rPr>
        <w:t>专业建设改革研究与实践</w:t>
      </w:r>
    </w:p>
    <w:p>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学科专业设置与区域发展匹配机制的研究与实践；面向新兴战略产业的学科专业与人才培养快速响应机制探索与实践；一流本科专业建设研究；“微专业”建设的探索与实践；国内外大学本科专业建设特色比较研究；高等学校专业群建设研究、品牌特色专业建设及紧缺专业和新办专业建设研究；适应湖北区域经济社会发展要求的优势、对接区域产业链建立产教融合特色优势专业（群）建设与改革研究；高校专业设置、调整、优化、管理、评估和评价机制的研究与实践；人才培养与产业需求对接的监测预警机制研究；符合湖北、区域、行业发展需要的专业结构优化研究与实践；面向湖北工业、产业集群发展需要的专业建设研究与实践等。</w:t>
      </w:r>
    </w:p>
    <w:p>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12.课程、教材建设研究</w:t>
      </w:r>
    </w:p>
    <w:p>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创新课程知识体系建设研究；素质教育课程体系及相关教材建设与研究；一流本科课程建设与应用的理论研究与实践;基于能力图谱、知识图谱的课程、教材、实验一体化建设与探索研究；区域高校课程联盟运作体系研究与实践;高校双语课程建设及双语教学改革的研究；国内外优质课程教学资源选用机制、办法研究；高校课程的准入、建设、评价与淘汰机制研究；产学合作新课程的开发研究；国家级规划教材建设研究；经典传承教材、示范性新形态教材，多介质、数字化、智能化、快速迭代的新形态教材建设；数字教材建设；国家急需和关键领域核心教材建设；101计划核心教材建设等。</w:t>
      </w:r>
    </w:p>
    <w:p>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13.教师队伍建设与教师教学能力提升</w:t>
      </w:r>
    </w:p>
    <w:p>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教学团队建设与优秀教学团队形成机制研究；基层教学组织建设研究；高校教师教学能力、实践能力提升方式与途径研究；高校教师发展中心建设与中青年教师培训研究与实践；完善教授为本科生授课的机制研究与实践；高校教风与学风建设；科学合理的高校教师教学能力评价办法探索与实践；高校教师教学激励机制研究；教学名师培养、名师工作室建设；“双师型”教师队伍建设与管理研究等。</w:t>
      </w:r>
    </w:p>
    <w:p>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14.教学内容更新与教学方法改革</w:t>
      </w:r>
    </w:p>
    <w:p>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基于创新人才培养的教学内容更新研究；高校课堂教学模式创新研究；基于能力培养的高校课堂教学手段与方法改革研究；互联网背景下的通识教育研究；高等学校教学资源库和试题库建设与应用；与职业（行业）标准相衔接的课程与教学内容体系探索；高校课程体系整体优化与教学内容改革的研究与实践；高校案例式、启发式、探究式、讨论式等教学方法的探索与实践；公共基础课教学改革研究；基于移动互联网络环境的学习模式研究等。</w:t>
      </w:r>
    </w:p>
    <w:p>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15.实践教学改革与大学生创新能力培养</w:t>
      </w:r>
    </w:p>
    <w:p>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高校实践教学模式及运行机制创新研究；实践课教师队伍建设；实践教育基地建设模式的研究与实践；实验教学示范中心、虚拟仿真实验中心、工程训练中心、实习实训基地的建设、管理与运行机制研究；大学生实践能力培养、毕业实习、毕业设计（论文）等各实践教学环节的建设与管理研究；大学生创新创业教育与就业、创业能力研究；创新创业教育课程体系建设、创新创业实践平台建设、创新创业教育实践、创新创业教育管理改革等；大学生科技创新竞赛活动组织管理模式研究；大学生创新活动基地建设和运行管理机制研究；第二课堂与大学生创新能力培养研究；以科技为支撑的高校师生创新创业研究与实践；服务国家战略的国际化创新人才培养与实践等。</w:t>
      </w:r>
    </w:p>
    <w:p>
      <w:pPr>
        <w:adjustRightInd w:val="0"/>
        <w:snapToGrid w:val="0"/>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六、高等教育数字化战略研究</w:t>
      </w:r>
    </w:p>
    <w:p>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16.智慧校园建设</w:t>
      </w:r>
    </w:p>
    <w:p>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智慧校园建设研究；智能教育创新实验室等建设与研究；高等教育大数据平台建设研究；可视化高等教育智慧“驾驶舱”研究；“数字孪生”校园建设研究；</w:t>
      </w:r>
      <w:bookmarkStart w:id="1" w:name="OLE_LINK1"/>
      <w:bookmarkStart w:id="2" w:name="OLE_LINK2"/>
      <w:r>
        <w:rPr>
          <w:rFonts w:hint="eastAsia" w:ascii="仿宋" w:hAnsi="仿宋" w:eastAsia="仿宋_GB2312"/>
          <w:sz w:val="32"/>
          <w:szCs w:val="32"/>
        </w:rPr>
        <w:t>校园网络安全、数据安全、大模型安全</w:t>
      </w:r>
      <w:bookmarkEnd w:id="1"/>
      <w:bookmarkEnd w:id="2"/>
      <w:r>
        <w:rPr>
          <w:rFonts w:hint="eastAsia" w:ascii="仿宋" w:hAnsi="仿宋" w:eastAsia="仿宋_GB2312"/>
          <w:sz w:val="32"/>
          <w:szCs w:val="32"/>
        </w:rPr>
        <w:t>研究等。</w:t>
      </w:r>
    </w:p>
    <w:p>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17.高等教育教学数字化转型</w:t>
      </w:r>
    </w:p>
    <w:p>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高等教育教学数字化体系研究；国家和省级高等教育智慧教育平台应用研究；信息技术与教育教学的深度融合如微课、在线开放课程建设、翻转课堂等方面研究；虚拟仿真教学实验、课程思政数字化资源库、教学案例库、人才培养教学资源库等教学资源平台建设与管理；虚拟教研室信息平台建设；学习过程大数据分析、打造智慧学习社区等研究；教学管理数字化、信息化建设研究与实践；现代信息网络技术在教学中的运用、现代远程高等教育教学体系的构建及管理研究。</w:t>
      </w:r>
    </w:p>
    <w:p>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18.人工智能推进教育教学变革</w:t>
      </w:r>
    </w:p>
    <w:p>
      <w:pPr>
        <w:autoSpaceDE w:val="0"/>
        <w:autoSpaceDN w:val="0"/>
        <w:adjustRightInd w:val="0"/>
        <w:snapToGrid w:val="0"/>
        <w:spacing w:line="560" w:lineRule="exact"/>
        <w:ind w:firstLine="640" w:firstLineChars="200"/>
        <w:jc w:val="left"/>
        <w:rPr>
          <w:rFonts w:hint="eastAsia" w:ascii="仿宋" w:hAnsi="仿宋" w:eastAsia="仿宋_GB2312"/>
          <w:sz w:val="32"/>
          <w:szCs w:val="32"/>
        </w:rPr>
      </w:pPr>
      <w:r>
        <w:rPr>
          <w:rFonts w:hint="eastAsia" w:ascii="仿宋" w:hAnsi="仿宋" w:eastAsia="仿宋_GB2312"/>
          <w:sz w:val="32"/>
          <w:szCs w:val="32"/>
        </w:rPr>
        <w:t>人工智能时代高等教育政策与体制机制改革研究；“人工智能+”教育教学改革研究与实践；</w:t>
      </w:r>
      <w:r>
        <w:rPr>
          <w:rFonts w:hint="eastAsia" w:ascii="仿宋_GB2312" w:hAnsi="Times New Roman" w:eastAsia="仿宋_GB2312" w:cs="仿宋_GB2312"/>
          <w:kern w:val="0"/>
          <w:sz w:val="32"/>
          <w:szCs w:val="32"/>
        </w:rPr>
        <w:t>人工智能赋能本科教育教学创新提质探索与实践；师生人工智能素养提升的改革与实践；人工智能通识教育的理念创新与课程体系构建；</w:t>
      </w:r>
      <w:r>
        <w:rPr>
          <w:rFonts w:hint="eastAsia" w:ascii="仿宋" w:hAnsi="仿宋" w:eastAsia="仿宋_GB2312"/>
          <w:sz w:val="32"/>
          <w:szCs w:val="32"/>
        </w:rPr>
        <w:t>四个“未来”（未来学习中心、未来课堂、未来学校、未来教师）建设研究；人工智能赋能专业评价、学生评价的改革与实践；人工智能伦理与风险治理研究等。</w:t>
      </w:r>
    </w:p>
    <w:p>
      <w:pPr>
        <w:adjustRightInd w:val="0"/>
        <w:snapToGrid w:val="0"/>
        <w:spacing w:line="560" w:lineRule="exact"/>
        <w:ind w:firstLine="640" w:firstLineChars="200"/>
        <w:rPr>
          <w:rFonts w:hint="eastAsia" w:ascii="黑体" w:hAnsi="黑体" w:eastAsia="黑体" w:cs="黑体"/>
          <w:bCs/>
          <w:sz w:val="32"/>
          <w:szCs w:val="32"/>
        </w:rPr>
      </w:pPr>
      <w:r>
        <w:rPr>
          <w:rFonts w:hint="eastAsia" w:ascii="黑体" w:hAnsi="黑体" w:eastAsia="黑体" w:cs="黑体"/>
          <w:bCs/>
          <w:sz w:val="32"/>
          <w:szCs w:val="32"/>
        </w:rPr>
        <w:t>七、高等教育质量保证体系研究</w:t>
      </w:r>
    </w:p>
    <w:p>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19.以质量提升为核心的管理体制机制建设</w:t>
      </w:r>
    </w:p>
    <w:p>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体现“以本为本”“四个回归”的管理体制机制研究；建立以提升教育质量为核心、以激励教师投入人才培养为重点的管理制度体系研究；推进学分制、弹性学制，探索书院制等改革研究；本科专业类教学质量国家标准实施研究与实践；高校严格课堂教学管理与课堂改革方面的研究与实践；专业人才培养评价标准体系构建研究与实践；本科专业监测评估的改革与实践；高校教学质量管理体制、质量监控体系和保障体系的研究；高等学校教学质量标准体系建设研究等。</w:t>
      </w:r>
    </w:p>
    <w:p>
      <w:pPr>
        <w:adjustRightInd w:val="0"/>
        <w:snapToGrid w:val="0"/>
        <w:spacing w:line="560" w:lineRule="exact"/>
        <w:ind w:firstLine="643" w:firstLineChars="200"/>
        <w:rPr>
          <w:rFonts w:hint="eastAsia" w:ascii="楷体_GB2312" w:hAnsi="仿宋" w:eastAsia="楷体_GB2312"/>
          <w:b/>
          <w:sz w:val="32"/>
          <w:szCs w:val="32"/>
        </w:rPr>
      </w:pPr>
      <w:r>
        <w:rPr>
          <w:rFonts w:hint="eastAsia" w:ascii="楷体_GB2312" w:hAnsi="仿宋" w:eastAsia="楷体_GB2312"/>
          <w:b/>
          <w:sz w:val="32"/>
          <w:szCs w:val="32"/>
        </w:rPr>
        <w:t>20.高校内部教育质量管理及保障体系建设、监控机制和体系研究</w:t>
      </w:r>
    </w:p>
    <w:p>
      <w:pPr>
        <w:adjustRightInd w:val="0"/>
        <w:snapToGrid w:val="0"/>
        <w:spacing w:line="560" w:lineRule="exact"/>
        <w:ind w:firstLine="640" w:firstLineChars="200"/>
        <w:rPr>
          <w:rFonts w:hint="eastAsia" w:ascii="仿宋" w:hAnsi="仿宋" w:eastAsia="仿宋_GB2312"/>
          <w:sz w:val="32"/>
          <w:szCs w:val="32"/>
        </w:rPr>
      </w:pPr>
      <w:r>
        <w:rPr>
          <w:rFonts w:hint="eastAsia" w:ascii="仿宋" w:hAnsi="仿宋" w:eastAsia="仿宋_GB2312"/>
          <w:sz w:val="32"/>
          <w:szCs w:val="32"/>
        </w:rPr>
        <w:t>加强学风建设，提升学业挑战度，强化人才培养方案、教学过程和教学考核等质量要求，完善学业考评制度等方面的研究；面向培养目标达成的定量和定性评价方法，建立校院两级质量保障机制研究；完善教学环节质量标准、教学反馈和评估机制，健全内部评价与外部评价相结合的评价体系，构建教师教学、学生学业、质量监测“三位一体”的质量保障体系研究；教学状态和教学质量监测的常态化、信息化研究与实践；高校本科教学工作合格评估和本科教育教学审核评估研究；本科人才培养质量评价体系及评价方法研究；高校专业认证、课程评估研究；高校教学督导工作研究等。</w:t>
      </w:r>
    </w:p>
    <w:p>
      <w:pPr>
        <w:adjustRightInd w:val="0"/>
        <w:snapToGrid w:val="0"/>
        <w:spacing w:line="560" w:lineRule="exact"/>
        <w:ind w:firstLine="640" w:firstLineChars="200"/>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八</w:t>
      </w:r>
      <w:r>
        <w:rPr>
          <w:rFonts w:hint="eastAsia" w:ascii="黑体" w:hAnsi="黑体" w:eastAsia="黑体" w:cs="黑体"/>
          <w:bCs/>
          <w:sz w:val="32"/>
          <w:szCs w:val="32"/>
        </w:rPr>
        <w:t>、</w:t>
      </w:r>
      <w:r>
        <w:rPr>
          <w:rFonts w:hint="eastAsia" w:ascii="黑体" w:hAnsi="黑体" w:eastAsia="黑体" w:cs="黑体"/>
          <w:bCs/>
          <w:sz w:val="32"/>
          <w:szCs w:val="32"/>
          <w:lang w:val="en-US" w:eastAsia="zh-CN"/>
        </w:rPr>
        <w:t>生涯教育与就业指导专题</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1.生涯教育的理念与路径研究</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2.教育数字化赋能生涯教育研究</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3.大中小学生涯教育体系的构建</w:t>
      </w:r>
      <w:bookmarkStart w:id="3" w:name="_GoBack"/>
      <w:bookmarkEnd w:id="3"/>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4.大学生生涯教育的内容、形式和实施方案</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5.高校生涯教育与专业融合模式研究</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6.生涯教育师资认证体系研究</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7.新高考改革背景下的普通高中、中等职业院校生涯教育实践与探索</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8.特殊群体的生涯教育与对策研究</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9.生涯教育政策研究</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10.生涯教育评价体系研究</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11.本土化大中小学生涯教育课程开发</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12.大学生生涯困惑及解决对策</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13.生涯规划教育与心理健康教育协同推进研究</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14.大学生涯教育的国际比较研究</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15.生涯教育的长期影响研究</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16.学校生涯教育课程体系建设研究</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17.人工智能在生涯教育中的运用及探索研究</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18.生涯教育课程标准研究</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19.生涯教育“校-校-社”协同机制研究</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20.大学生心理健康素养的提升策略</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21.大学生心理危机的预警和援助制度建设</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22.高校心理健康教育大型宣传干预活动的设计、实施和效果评估</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23.处境不利（如家庭冲突、校园霸凌、经济困难等）儿童青少年心理健康促进研究</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24.大学生集体主义价值感的培养及其对心理健康的促进研究</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25.大中小学心理健康服务的家校协同发展研究</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26.大中小学心理健康服务的医教协同模式研究</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27.大中小学心理健康服务的管理制度建立健全研究</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28.青少年生命意义感的发展特点及提升路径</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29.大学生学习动机的社会心理因素剖析与激发路径探索</w:t>
      </w:r>
    </w:p>
    <w:p>
      <w:pPr>
        <w:adjustRightInd w:val="0"/>
        <w:snapToGrid w:val="0"/>
        <w:spacing w:line="520" w:lineRule="exact"/>
        <w:ind w:firstLine="640" w:firstLineChars="200"/>
        <w:rPr>
          <w:rFonts w:hint="eastAsia" w:ascii="仿宋_GB2312" w:eastAsia="仿宋_GB2312"/>
          <w:sz w:val="32"/>
          <w:szCs w:val="32"/>
        </w:rPr>
      </w:pPr>
      <w:r>
        <w:rPr>
          <w:rFonts w:hint="eastAsia" w:ascii="仿宋_GB2312" w:eastAsia="仿宋_GB2312"/>
          <w:sz w:val="32"/>
          <w:szCs w:val="32"/>
        </w:rPr>
        <w:t>30.中小学生心理健康教育师资队伍建设的现状、问题与优化路径研究</w:t>
      </w:r>
    </w:p>
    <w:p>
      <w:pPr>
        <w:adjustRightInd w:val="0"/>
        <w:snapToGrid w:val="0"/>
        <w:spacing w:line="560" w:lineRule="exact"/>
        <w:ind w:firstLine="640" w:firstLineChars="200"/>
        <w:rPr>
          <w:rFonts w:hint="eastAsia" w:ascii="仿宋" w:hAnsi="仿宋" w:eastAsia="仿宋_GB2312"/>
          <w:sz w:val="32"/>
          <w:szCs w:val="32"/>
        </w:rPr>
      </w:pPr>
    </w:p>
    <w:p>
      <w:pPr>
        <w:adjustRightInd w:val="0"/>
        <w:snapToGrid w:val="0"/>
        <w:spacing w:line="560" w:lineRule="exact"/>
        <w:ind w:firstLine="640" w:firstLineChars="200"/>
        <w:rPr>
          <w:rFonts w:hint="eastAsia" w:ascii="仿宋" w:hAnsi="仿宋" w:eastAsia="仿宋_GB2312"/>
          <w:sz w:val="32"/>
          <w:szCs w:val="32"/>
        </w:rPr>
      </w:pPr>
    </w:p>
    <w:p>
      <w:pPr>
        <w:adjustRightInd w:val="0"/>
        <w:snapToGrid w:val="0"/>
        <w:spacing w:line="560" w:lineRule="exact"/>
        <w:ind w:firstLine="640" w:firstLineChars="200"/>
        <w:rPr>
          <w:rFonts w:hint="eastAsia" w:ascii="仿宋" w:hAnsi="仿宋" w:eastAsia="仿宋_GB2312"/>
          <w:sz w:val="32"/>
          <w:szCs w:val="32"/>
        </w:rPr>
      </w:pPr>
    </w:p>
    <w:p>
      <w:pPr>
        <w:adjustRightInd w:val="0"/>
        <w:snapToGrid w:val="0"/>
        <w:spacing w:line="560" w:lineRule="exact"/>
        <w:ind w:firstLine="640" w:firstLineChars="200"/>
        <w:rPr>
          <w:rFonts w:hint="eastAsia" w:ascii="仿宋" w:hAnsi="仿宋" w:eastAsia="仿宋_GB2312"/>
          <w:sz w:val="32"/>
          <w:szCs w:val="32"/>
        </w:rPr>
      </w:pPr>
    </w:p>
    <w:p>
      <w:pPr>
        <w:adjustRightInd w:val="0"/>
        <w:snapToGrid w:val="0"/>
        <w:spacing w:line="560" w:lineRule="exact"/>
        <w:rPr>
          <w:rFonts w:hint="eastAsia" w:ascii="仿宋" w:hAnsi="仿宋" w:eastAsia="仿宋_GB2312"/>
          <w:sz w:val="32"/>
          <w:szCs w:val="32"/>
        </w:rPr>
      </w:pPr>
    </w:p>
    <w:sectPr>
      <w:headerReference r:id="rId3" w:type="default"/>
      <w:footerReference r:id="rId4" w:type="default"/>
      <w:pgSz w:w="11906" w:h="16838"/>
      <w:pgMar w:top="2211" w:right="1531" w:bottom="187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script"/>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w="6350">
                        <a:noFill/>
                      </a:ln>
                    </wps:spPr>
                    <wps:txbx>
                      <w:txbxContent>
                        <w:p>
                          <w:pPr>
                            <w:pStyle w:val="2"/>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9sZGvRAAAAAgEAAA8AAAAAAAAAAQAgAAAAIgAAAGRycy9kb3ducmV2LnhtbFBLAQIUABQAAAAI&#10;AIdO4kAD09VxLQIAAFIEAAAOAAAAAAAAAAEAIAAAACABAABkcnMvZTJvRG9jLnhtbFBLBQYAAAAA&#10;BgAGAFkBAA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rFonts w:hint="eastAsia" w:eastAsiaTheme="minorEastAsia"/>
        <w:lang w:eastAsia="zh-CN"/>
      </w:rPr>
      <w:drawing>
        <wp:inline distT="0" distB="0" distL="114300" distR="114300">
          <wp:extent cx="5608955" cy="1036320"/>
          <wp:effectExtent l="0" t="0" r="10795" b="11430"/>
          <wp:docPr id="2" name="图片 2" descr="院徽+标准字体组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院徽+标准字体组合"/>
                  <pic:cNvPicPr>
                    <a:picLocks noChangeAspect="1"/>
                  </pic:cNvPicPr>
                </pic:nvPicPr>
                <pic:blipFill>
                  <a:blip r:embed="rId1"/>
                  <a:stretch>
                    <a:fillRect/>
                  </a:stretch>
                </pic:blipFill>
                <pic:spPr>
                  <a:xfrm>
                    <a:off x="0" y="0"/>
                    <a:ext cx="5608955" cy="103632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g2NDJjOTYxMjE2N2U2MjJkYTM0YmQyMDk3ODEyYWMifQ=="/>
  </w:docVars>
  <w:rsids>
    <w:rsidRoot w:val="6607002C"/>
    <w:rsid w:val="00021401"/>
    <w:rsid w:val="00076DC4"/>
    <w:rsid w:val="001E639E"/>
    <w:rsid w:val="001F768D"/>
    <w:rsid w:val="002853E5"/>
    <w:rsid w:val="002B3F66"/>
    <w:rsid w:val="00302742"/>
    <w:rsid w:val="003F77E6"/>
    <w:rsid w:val="00592A29"/>
    <w:rsid w:val="006A5190"/>
    <w:rsid w:val="006F05BD"/>
    <w:rsid w:val="006F14A3"/>
    <w:rsid w:val="006F6E0F"/>
    <w:rsid w:val="00703CC0"/>
    <w:rsid w:val="007630BD"/>
    <w:rsid w:val="00867DEE"/>
    <w:rsid w:val="00B93652"/>
    <w:rsid w:val="00C402D1"/>
    <w:rsid w:val="0123016A"/>
    <w:rsid w:val="01FA44D4"/>
    <w:rsid w:val="0221698D"/>
    <w:rsid w:val="02551A35"/>
    <w:rsid w:val="04F82B4C"/>
    <w:rsid w:val="05777F14"/>
    <w:rsid w:val="05EA6938"/>
    <w:rsid w:val="06190FCC"/>
    <w:rsid w:val="0624011C"/>
    <w:rsid w:val="06542CAB"/>
    <w:rsid w:val="065D35AE"/>
    <w:rsid w:val="06A42F8B"/>
    <w:rsid w:val="07E67A45"/>
    <w:rsid w:val="095C5D9F"/>
    <w:rsid w:val="0AED6C96"/>
    <w:rsid w:val="0B6A43CA"/>
    <w:rsid w:val="0CBE467B"/>
    <w:rsid w:val="0F9F73F6"/>
    <w:rsid w:val="10CD1330"/>
    <w:rsid w:val="13541348"/>
    <w:rsid w:val="14FE5E56"/>
    <w:rsid w:val="177D585E"/>
    <w:rsid w:val="17EF4694"/>
    <w:rsid w:val="19B94CAF"/>
    <w:rsid w:val="1A141D7E"/>
    <w:rsid w:val="1A175855"/>
    <w:rsid w:val="1D721295"/>
    <w:rsid w:val="1D7FB44E"/>
    <w:rsid w:val="1E1F19A8"/>
    <w:rsid w:val="1E3BB8CE"/>
    <w:rsid w:val="1E9670FF"/>
    <w:rsid w:val="1ED66300"/>
    <w:rsid w:val="1FE70CC8"/>
    <w:rsid w:val="205834E6"/>
    <w:rsid w:val="21CD2F3E"/>
    <w:rsid w:val="2527505B"/>
    <w:rsid w:val="25495698"/>
    <w:rsid w:val="27825F31"/>
    <w:rsid w:val="29D02553"/>
    <w:rsid w:val="2A0C4820"/>
    <w:rsid w:val="2D1852F9"/>
    <w:rsid w:val="2E2A34C6"/>
    <w:rsid w:val="2FD69960"/>
    <w:rsid w:val="302A3C52"/>
    <w:rsid w:val="30E38BBC"/>
    <w:rsid w:val="33E10ACB"/>
    <w:rsid w:val="33EB36F8"/>
    <w:rsid w:val="341113B0"/>
    <w:rsid w:val="347A51A8"/>
    <w:rsid w:val="34847DD4"/>
    <w:rsid w:val="34A264AC"/>
    <w:rsid w:val="35776899"/>
    <w:rsid w:val="36985DB9"/>
    <w:rsid w:val="36A44BEC"/>
    <w:rsid w:val="37C36C15"/>
    <w:rsid w:val="385E7D43"/>
    <w:rsid w:val="39B301A7"/>
    <w:rsid w:val="3A3C2633"/>
    <w:rsid w:val="3C9B215F"/>
    <w:rsid w:val="3CB60943"/>
    <w:rsid w:val="3D5440BC"/>
    <w:rsid w:val="3DFD52E7"/>
    <w:rsid w:val="3E2B306F"/>
    <w:rsid w:val="3E492E08"/>
    <w:rsid w:val="3EF61237"/>
    <w:rsid w:val="3EFE7928"/>
    <w:rsid w:val="3F35A0B2"/>
    <w:rsid w:val="3F8F3A20"/>
    <w:rsid w:val="3FDE2FC1"/>
    <w:rsid w:val="3FEC5E5F"/>
    <w:rsid w:val="3FFF15E1"/>
    <w:rsid w:val="3FFFE4D3"/>
    <w:rsid w:val="408E3207"/>
    <w:rsid w:val="41CD1EA6"/>
    <w:rsid w:val="42562684"/>
    <w:rsid w:val="43914C2A"/>
    <w:rsid w:val="447A4D50"/>
    <w:rsid w:val="449657B8"/>
    <w:rsid w:val="44A65B45"/>
    <w:rsid w:val="4A804742"/>
    <w:rsid w:val="4EB704D1"/>
    <w:rsid w:val="4FC93126"/>
    <w:rsid w:val="50025D05"/>
    <w:rsid w:val="52FCB9FD"/>
    <w:rsid w:val="54FE38B0"/>
    <w:rsid w:val="55690BF5"/>
    <w:rsid w:val="55917BAF"/>
    <w:rsid w:val="5779314C"/>
    <w:rsid w:val="586E7225"/>
    <w:rsid w:val="5B7F7302"/>
    <w:rsid w:val="5C7BA63B"/>
    <w:rsid w:val="5CEFFD08"/>
    <w:rsid w:val="5D7F4930"/>
    <w:rsid w:val="5D9F7C6B"/>
    <w:rsid w:val="5DF3ABAC"/>
    <w:rsid w:val="5DFF86EE"/>
    <w:rsid w:val="5FEE71D7"/>
    <w:rsid w:val="5FF3EEC0"/>
    <w:rsid w:val="604638E0"/>
    <w:rsid w:val="6607002C"/>
    <w:rsid w:val="67B7199E"/>
    <w:rsid w:val="67F955AE"/>
    <w:rsid w:val="69091942"/>
    <w:rsid w:val="6A3F387A"/>
    <w:rsid w:val="6B7DF3D4"/>
    <w:rsid w:val="6BC524A5"/>
    <w:rsid w:val="6C240DB1"/>
    <w:rsid w:val="6CFB57A6"/>
    <w:rsid w:val="6D864EA4"/>
    <w:rsid w:val="6DDDB5F6"/>
    <w:rsid w:val="6EC6F991"/>
    <w:rsid w:val="6EF32551"/>
    <w:rsid w:val="6EFB48B1"/>
    <w:rsid w:val="6EFFBA93"/>
    <w:rsid w:val="6FB5FD87"/>
    <w:rsid w:val="6FCFD5B7"/>
    <w:rsid w:val="6FD14DC4"/>
    <w:rsid w:val="6FE72ABE"/>
    <w:rsid w:val="6FEFFA6A"/>
    <w:rsid w:val="6FFBFBE2"/>
    <w:rsid w:val="70B72510"/>
    <w:rsid w:val="73E6216D"/>
    <w:rsid w:val="7457A843"/>
    <w:rsid w:val="74F5C072"/>
    <w:rsid w:val="75734D20"/>
    <w:rsid w:val="75DF5DE2"/>
    <w:rsid w:val="76BB92D8"/>
    <w:rsid w:val="777AF46D"/>
    <w:rsid w:val="77DE0CC0"/>
    <w:rsid w:val="78FE42BB"/>
    <w:rsid w:val="79886011"/>
    <w:rsid w:val="79AC7A48"/>
    <w:rsid w:val="79D85059"/>
    <w:rsid w:val="79FE9662"/>
    <w:rsid w:val="7AF44F21"/>
    <w:rsid w:val="7B3C6D50"/>
    <w:rsid w:val="7BAF2D34"/>
    <w:rsid w:val="7BE4E4B8"/>
    <w:rsid w:val="7BF8CECC"/>
    <w:rsid w:val="7D9FE9FC"/>
    <w:rsid w:val="7DEF360F"/>
    <w:rsid w:val="7DF432BE"/>
    <w:rsid w:val="7E3CF3FE"/>
    <w:rsid w:val="7E7FF09E"/>
    <w:rsid w:val="7E9049B7"/>
    <w:rsid w:val="7F1F4375"/>
    <w:rsid w:val="7F3D7DE8"/>
    <w:rsid w:val="7F783209"/>
    <w:rsid w:val="7F81C53B"/>
    <w:rsid w:val="7FA7D872"/>
    <w:rsid w:val="7FCA19E0"/>
    <w:rsid w:val="7FDB5A18"/>
    <w:rsid w:val="7FE94FF3"/>
    <w:rsid w:val="7FEF7E3C"/>
    <w:rsid w:val="7FF0DCAB"/>
    <w:rsid w:val="7FF5C7F4"/>
    <w:rsid w:val="7FF7279A"/>
    <w:rsid w:val="7FFBCD5E"/>
    <w:rsid w:val="7FFC5739"/>
    <w:rsid w:val="7FFD4F3A"/>
    <w:rsid w:val="7FFF08C5"/>
    <w:rsid w:val="9FF39BAD"/>
    <w:rsid w:val="A1B70EAB"/>
    <w:rsid w:val="A9B8A065"/>
    <w:rsid w:val="ABFF3483"/>
    <w:rsid w:val="ACFDD868"/>
    <w:rsid w:val="AEBFB584"/>
    <w:rsid w:val="AED447A3"/>
    <w:rsid w:val="AFFF41F1"/>
    <w:rsid w:val="B5FD5C44"/>
    <w:rsid w:val="B6F9A306"/>
    <w:rsid w:val="B75FD963"/>
    <w:rsid w:val="BAFFC81D"/>
    <w:rsid w:val="BBA79180"/>
    <w:rsid w:val="BBAFA444"/>
    <w:rsid w:val="BDF4B93B"/>
    <w:rsid w:val="BE7BF1CC"/>
    <w:rsid w:val="BE7FF5D9"/>
    <w:rsid w:val="BEDF97AC"/>
    <w:rsid w:val="BFFD0C74"/>
    <w:rsid w:val="BFFFCBA6"/>
    <w:rsid w:val="C7CF953B"/>
    <w:rsid w:val="C7FAA2AC"/>
    <w:rsid w:val="CF3F0416"/>
    <w:rsid w:val="CFDF4AE5"/>
    <w:rsid w:val="CFDFFED0"/>
    <w:rsid w:val="D37FF595"/>
    <w:rsid w:val="D3A112D9"/>
    <w:rsid w:val="D3F7D9A2"/>
    <w:rsid w:val="D5FB1E14"/>
    <w:rsid w:val="D6BF801B"/>
    <w:rsid w:val="D779A75A"/>
    <w:rsid w:val="DD3F58CA"/>
    <w:rsid w:val="DEAB4C6C"/>
    <w:rsid w:val="DFEA3A54"/>
    <w:rsid w:val="DFEE7FE8"/>
    <w:rsid w:val="DFF95EBC"/>
    <w:rsid w:val="DFFF0343"/>
    <w:rsid w:val="E65C8C1D"/>
    <w:rsid w:val="E7B7206C"/>
    <w:rsid w:val="E8DB3116"/>
    <w:rsid w:val="E9FF5D24"/>
    <w:rsid w:val="EA279E1B"/>
    <w:rsid w:val="EB893B34"/>
    <w:rsid w:val="EC7811C0"/>
    <w:rsid w:val="EDF74D42"/>
    <w:rsid w:val="EE3E0954"/>
    <w:rsid w:val="EEE4C6DD"/>
    <w:rsid w:val="EF674110"/>
    <w:rsid w:val="EF7EB6A8"/>
    <w:rsid w:val="EFCF232A"/>
    <w:rsid w:val="EFFDFFE2"/>
    <w:rsid w:val="F3BE8FEB"/>
    <w:rsid w:val="F4D7D5BE"/>
    <w:rsid w:val="F5EABA37"/>
    <w:rsid w:val="F6EFD6A3"/>
    <w:rsid w:val="F77E3BFD"/>
    <w:rsid w:val="F7AF1B18"/>
    <w:rsid w:val="F7BF8454"/>
    <w:rsid w:val="FA5D872E"/>
    <w:rsid w:val="FB77072C"/>
    <w:rsid w:val="FB7F83B0"/>
    <w:rsid w:val="FC71D46A"/>
    <w:rsid w:val="FCFF4C19"/>
    <w:rsid w:val="FD4F0169"/>
    <w:rsid w:val="FD8F1733"/>
    <w:rsid w:val="FDBEE1C5"/>
    <w:rsid w:val="FDEFC0FC"/>
    <w:rsid w:val="FDFED970"/>
    <w:rsid w:val="FEBE6A5C"/>
    <w:rsid w:val="FF7BDB09"/>
    <w:rsid w:val="FF7D8FE5"/>
    <w:rsid w:val="FF8F855A"/>
    <w:rsid w:val="FF9B3B66"/>
    <w:rsid w:val="FFE73FF1"/>
    <w:rsid w:val="FFF98548"/>
    <w:rsid w:val="FFFB8A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0"/>
    <w:rPr>
      <w:b/>
    </w:rPr>
  </w:style>
  <w:style w:type="character" w:styleId="8">
    <w:name w:val="Emphasis"/>
    <w:basedOn w:val="6"/>
    <w:qFormat/>
    <w:uiPriority w:val="20"/>
    <w:rPr>
      <w:i/>
      <w:iC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4900</Words>
  <Characters>4941</Characters>
  <Lines>47</Lines>
  <Paragraphs>13</Paragraphs>
  <TotalTime>0</TotalTime>
  <ScaleCrop>false</ScaleCrop>
  <LinksUpToDate>false</LinksUpToDate>
  <CharactersWithSpaces>4941</CharactersWithSpaces>
  <Application>WPS Office_11.1.0.12173_F1E327BC-269C-435d-A152-05C5408002CA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2025-07-04T09:56:00Z</dcterms:created>
  <dc:creator>次第花开</dc:creator>
  <cp:lastModifiedBy>Liuli</cp:lastModifiedBy>
  <cp:lastPrinted>2025-07-05T01:24:00Z</cp:lastPrinted>
  <dcterms:modified xsi:type="dcterms:W3CDTF">2025-07-21T08:16:07Z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2052-11.1.0.12173</vt:lpwstr>
  </property>
  <property fmtid="{D5CDD505-2E9C-101B-9397-08002B2CF9AE}" pid="3" name="ICV">
    <vt:lpwstr>B7280A38138A4419BE03625914F191D1</vt:lpwstr>
  </property>
  <property fmtid="{D5CDD505-2E9C-101B-9397-08002B2CF9AE}" pid="4" name="KSOTemplateDocerSaveRecord">
    <vt:lpwstr>eyJoZGlkIjoiMTA5YWY1MjUxMDg4Y2JkZjE2OWI0MGZkNTcyNGU1NDAiLCJ1c2VySWQiOiIyNTI0NjIxNzkifQ==</vt:lpwstr>
  </property>
</Properties>
</file>