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ED6A05">
      <w:pPr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毕业论文（设计）检测操作指南</w:t>
      </w:r>
    </w:p>
    <w:p w14:paraId="01DD3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  <w:t>论文定稿流程：</w:t>
      </w:r>
    </w:p>
    <w:p w14:paraId="50A4A8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2E75B6" w:themeColor="accent1" w:themeShade="BF"/>
          <w:kern w:val="2"/>
          <w:sz w:val="28"/>
          <w:szCs w:val="28"/>
          <w:lang w:val="en-US" w:eastAsia="zh-CN" w:bidi="ar-SA"/>
        </w:rPr>
        <w:t>学生提交初稿→指导教师评阅→学生按照批阅意见修改论文重新上传→论文符合要求，审批定稿</w:t>
      </w:r>
    </w:p>
    <w:p w14:paraId="60399B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定稿时需提交检测，查重检测结果合格即可指导教师评分定稿</w:t>
      </w:r>
    </w:p>
    <w:p w14:paraId="48F4CA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Toc4719"/>
      <w:bookmarkStart w:id="1" w:name="_Toc28647"/>
      <w:bookmarkStart w:id="2" w:name="_Toc15960"/>
      <w:bookmarkStart w:id="3" w:name="_Toc18465"/>
      <w:bookmarkStart w:id="4" w:name="_Toc8648"/>
      <w:bookmarkStart w:id="5" w:name="_Toc13288"/>
      <w:bookmarkStart w:id="6" w:name="_Toc20421"/>
      <w:bookmarkStart w:id="7" w:name="_Toc5912"/>
      <w:r>
        <w:rPr>
          <w:rFonts w:hint="eastAsia"/>
          <w:b/>
          <w:bCs/>
          <w:sz w:val="28"/>
          <w:szCs w:val="28"/>
          <w:lang w:val="en-US" w:eastAsia="zh-Hans"/>
        </w:rPr>
        <w:t>提交论文</w:t>
      </w:r>
      <w:r>
        <w:rPr>
          <w:rFonts w:hint="eastAsia"/>
          <w:b/>
          <w:bCs/>
          <w:sz w:val="28"/>
          <w:szCs w:val="28"/>
          <w:lang w:val="en-US" w:eastAsia="zh-CN"/>
        </w:rPr>
        <w:t>给导师评阅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4035A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点击工作台【答辩前论文】右侧提交按钮，或者左侧【答辩前论文】-【提交论文】按钮上传论文，上传后可选择检测提交或者不检测提交给指导教师评阅。</w:t>
      </w:r>
    </w:p>
    <w:p w14:paraId="51877234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522595" cy="781050"/>
            <wp:effectExtent l="0" t="0" r="146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FA8FF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513070" cy="1541780"/>
            <wp:effectExtent l="0" t="0" r="11430" b="762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826C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提交检测需达到学校论文检测要求，指导老师方可审批通过，每位学生在答辩前有两次免费查重次数和一次智能质检质检次数，</w:t>
      </w:r>
    </w:p>
    <w:p w14:paraId="10C1A283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527675" cy="6225540"/>
            <wp:effectExtent l="0" t="0" r="158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AE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8" w:name="_Toc8748"/>
      <w:bookmarkStart w:id="9" w:name="_Toc7000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若免费检测次数用完，需点击【付费自查】，自费检测的结果默认仅自己可见，需要手动点击提交给导师和学校。</w:t>
      </w:r>
      <w:bookmarkEnd w:id="8"/>
      <w:bookmarkEnd w:id="9"/>
    </w:p>
    <w:p w14:paraId="04AE14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操作：答辩前论文—上传论文—提交论文检测，选择自费检测结果出来后，可点击提交导师。</w:t>
      </w:r>
    </w:p>
    <w:p w14:paraId="4F62888C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518150" cy="1883410"/>
            <wp:effectExtent l="0" t="0" r="6350" b="8890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34EA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</w:p>
    <w:p w14:paraId="26357E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10" w:name="_Toc30460"/>
      <w:r>
        <w:rPr>
          <w:rFonts w:hint="eastAsia"/>
          <w:b/>
          <w:bCs/>
          <w:sz w:val="28"/>
          <w:szCs w:val="28"/>
          <w:lang w:val="en-US" w:eastAsia="zh-CN"/>
        </w:rPr>
        <w:t>2、查看论文评阅记录</w:t>
      </w:r>
      <w:bookmarkEnd w:id="10"/>
    </w:p>
    <w:p w14:paraId="310778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查看评阅情况</w:t>
      </w:r>
    </w:p>
    <w:p w14:paraId="2C94EB7A">
      <w:pPr>
        <w:pStyle w:val="10"/>
        <w:ind w:left="0" w:leftChars="0" w:firstLine="0" w:firstLineChars="0"/>
      </w:pPr>
      <w:r>
        <w:drawing>
          <wp:inline distT="0" distB="0" distL="114300" distR="114300">
            <wp:extent cx="5268595" cy="1800860"/>
            <wp:effectExtent l="0" t="0" r="1905" b="2540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292C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查看检测结果</w:t>
      </w:r>
      <w:bookmarkStart w:id="11" w:name="_Toc13501"/>
    </w:p>
    <w:p w14:paraId="72A48D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①简版报告 查看核心检测结果，系统按照学校要求设置检测指标，系统判定所有检测结果均符合，指导老师可审批通过定稿。</w:t>
      </w:r>
      <w:bookmarkEnd w:id="11"/>
    </w:p>
    <w:p w14:paraId="14322BC4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960" cy="2112010"/>
            <wp:effectExtent l="0" t="0" r="2540" b="889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FA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bookmarkStart w:id="12" w:name="_Toc15785"/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②标红片段报告 显示复写和识别到的引用段落或句子</w:t>
      </w:r>
      <w:bookmarkEnd w:id="12"/>
    </w:p>
    <w:p w14:paraId="701EF1D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785" cy="2368550"/>
            <wp:effectExtent l="0" t="0" r="5715" b="6350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CE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bookmarkStart w:id="13" w:name="_Toc4299"/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③格式检测报告 【三、主体检测列表】红色*标识的为必备主体</w:t>
      </w:r>
      <w:bookmarkEnd w:id="13"/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，具体以页面显示为准。</w:t>
      </w:r>
    </w:p>
    <w:p w14:paraId="0381929C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5420" cy="2649220"/>
            <wp:effectExtent l="0" t="0" r="5080" b="5080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0DF3">
      <w:pPr>
        <w:pStyle w:val="3"/>
        <w:bidi w:val="0"/>
        <w:rPr>
          <w:rFonts w:hint="default"/>
          <w:sz w:val="24"/>
          <w:szCs w:val="28"/>
          <w:lang w:val="en-US" w:eastAsia="zh-CN"/>
        </w:rPr>
      </w:pPr>
      <w:bookmarkStart w:id="14" w:name="_Toc15975"/>
      <w:r>
        <w:rPr>
          <w:rFonts w:hint="default"/>
          <w:sz w:val="24"/>
          <w:szCs w:val="28"/>
          <w:lang w:val="en-US" w:eastAsia="zh-CN"/>
        </w:rPr>
        <w:t>格式主体缺失的常见原因</w:t>
      </w:r>
      <w:r>
        <w:rPr>
          <w:rFonts w:hint="eastAsia"/>
          <w:sz w:val="24"/>
          <w:szCs w:val="28"/>
          <w:lang w:val="en-US" w:eastAsia="zh-CN"/>
        </w:rPr>
        <w:t>:</w:t>
      </w:r>
      <w:bookmarkEnd w:id="14"/>
    </w:p>
    <w:p w14:paraId="6C462C04">
      <w:pPr>
        <w:pStyle w:val="3"/>
        <w:bidi w:val="0"/>
        <w:rPr>
          <w:rFonts w:hint="default"/>
          <w:sz w:val="24"/>
          <w:szCs w:val="28"/>
          <w:lang w:val="en-US" w:eastAsia="zh-CN"/>
        </w:rPr>
      </w:pPr>
      <w:bookmarkStart w:id="15" w:name="_Toc11897"/>
      <w:r>
        <w:rPr>
          <w:rFonts w:hint="default"/>
          <w:sz w:val="24"/>
          <w:szCs w:val="28"/>
          <w:lang w:val="en-US" w:eastAsia="zh-CN"/>
        </w:rPr>
        <w:t>（1）送检文档未书写主体部分内容；</w:t>
      </w:r>
      <w:bookmarkEnd w:id="15"/>
    </w:p>
    <w:p w14:paraId="572DDE91">
      <w:pPr>
        <w:pStyle w:val="3"/>
        <w:bidi w:val="0"/>
        <w:rPr>
          <w:rFonts w:hint="default"/>
          <w:sz w:val="24"/>
          <w:szCs w:val="28"/>
          <w:lang w:val="en-US" w:eastAsia="zh-CN"/>
        </w:rPr>
      </w:pPr>
      <w:bookmarkStart w:id="16" w:name="_Toc27068"/>
      <w:r>
        <w:rPr>
          <w:rFonts w:hint="default"/>
          <w:sz w:val="24"/>
          <w:szCs w:val="28"/>
          <w:lang w:val="en-US" w:eastAsia="zh-CN"/>
        </w:rPr>
        <w:t>（2）主体标题格式不正确。如将英文摘要题头“Abstract”写为“Absrtact”等、关键词以句号结尾、英文关键词题头用中文关键词题头等；</w:t>
      </w:r>
      <w:bookmarkEnd w:id="16"/>
    </w:p>
    <w:p w14:paraId="5F09BE93">
      <w:pPr>
        <w:pStyle w:val="3"/>
        <w:bidi w:val="0"/>
        <w:rPr>
          <w:rFonts w:hint="default"/>
          <w:sz w:val="24"/>
          <w:szCs w:val="28"/>
          <w:lang w:val="en-US" w:eastAsia="zh-CN"/>
        </w:rPr>
      </w:pPr>
      <w:bookmarkStart w:id="17" w:name="_Toc29434"/>
      <w:r>
        <w:rPr>
          <w:rFonts w:hint="default"/>
          <w:sz w:val="24"/>
          <w:szCs w:val="28"/>
          <w:lang w:val="en-US" w:eastAsia="zh-CN"/>
        </w:rPr>
        <w:t>（3）将注释作为主体部分内容。如将尾注注释作为参考文献主体，导致识别不到正文内容；</w:t>
      </w:r>
      <w:bookmarkEnd w:id="17"/>
    </w:p>
    <w:p w14:paraId="7FAA1B12">
      <w:pPr>
        <w:pStyle w:val="3"/>
        <w:bidi w:val="0"/>
        <w:rPr>
          <w:rFonts w:hint="default"/>
          <w:sz w:val="24"/>
          <w:szCs w:val="28"/>
          <w:lang w:val="en-US" w:eastAsia="zh-CN"/>
        </w:rPr>
      </w:pPr>
      <w:bookmarkStart w:id="18" w:name="_Toc19934"/>
      <w:r>
        <w:rPr>
          <w:rFonts w:hint="default"/>
          <w:sz w:val="24"/>
          <w:szCs w:val="28"/>
          <w:lang w:val="en-US" w:eastAsia="zh-CN"/>
        </w:rPr>
        <w:t>（4）在标题后紧跟分节符、分页符（会导致标题后识别不到主体内容）</w:t>
      </w:r>
      <w:r>
        <w:rPr>
          <w:rFonts w:hint="eastAsia"/>
          <w:sz w:val="24"/>
          <w:szCs w:val="28"/>
          <w:lang w:val="en-US" w:eastAsia="zh-CN"/>
        </w:rPr>
        <w:t>；</w:t>
      </w:r>
      <w:bookmarkEnd w:id="18"/>
    </w:p>
    <w:p w14:paraId="187419D2">
      <w:pPr>
        <w:pStyle w:val="3"/>
        <w:bidi w:val="0"/>
        <w:rPr>
          <w:rFonts w:hint="default"/>
          <w:sz w:val="24"/>
          <w:szCs w:val="28"/>
          <w:lang w:val="en-US" w:eastAsia="zh-CN"/>
        </w:rPr>
      </w:pPr>
      <w:bookmarkStart w:id="19" w:name="_Toc8777"/>
      <w:r>
        <w:rPr>
          <w:rFonts w:hint="default"/>
          <w:sz w:val="24"/>
          <w:szCs w:val="28"/>
          <w:lang w:val="en-US" w:eastAsia="zh-CN"/>
        </w:rPr>
        <w:t>（5）主体与主体之间要用分隔符号分开</w:t>
      </w:r>
      <w:r>
        <w:rPr>
          <w:rFonts w:hint="eastAsia"/>
          <w:sz w:val="24"/>
          <w:szCs w:val="28"/>
          <w:lang w:val="en-US" w:eastAsia="zh-CN"/>
        </w:rPr>
        <w:t>；</w:t>
      </w:r>
      <w:bookmarkEnd w:id="19"/>
    </w:p>
    <w:p w14:paraId="4EC94FA3">
      <w:pPr>
        <w:pStyle w:val="3"/>
        <w:bidi w:val="0"/>
        <w:rPr>
          <w:rFonts w:hint="eastAsia"/>
          <w:sz w:val="24"/>
          <w:szCs w:val="28"/>
          <w:lang w:val="en-US" w:eastAsia="zh-CN"/>
        </w:rPr>
      </w:pPr>
      <w:bookmarkStart w:id="20" w:name="_Toc23283"/>
      <w:r>
        <w:rPr>
          <w:rFonts w:hint="default"/>
          <w:sz w:val="24"/>
          <w:szCs w:val="28"/>
          <w:lang w:val="en-US" w:eastAsia="zh-CN"/>
        </w:rPr>
        <w:t>（6）主体用表格框柱会导致识别不到正文</w:t>
      </w:r>
      <w:r>
        <w:rPr>
          <w:rFonts w:hint="eastAsia"/>
          <w:sz w:val="24"/>
          <w:szCs w:val="28"/>
          <w:lang w:val="en-US" w:eastAsia="zh-CN"/>
        </w:rPr>
        <w:t>。</w:t>
      </w:r>
      <w:bookmarkEnd w:id="20"/>
    </w:p>
    <w:p w14:paraId="4CC8E3E4">
      <w:pPr>
        <w:rPr>
          <w:rFonts w:hint="eastAsia" w:asciiTheme="majorEastAsia" w:hAnsiTheme="majorEastAsia" w:eastAsiaTheme="majorEastAsia" w:cstheme="majorEastAsia"/>
          <w:b w:val="0"/>
          <w:bCs w:val="0"/>
          <w:sz w:val="22"/>
          <w:szCs w:val="22"/>
          <w:lang w:val="en-US" w:eastAsia="zh-CN"/>
        </w:rPr>
      </w:pPr>
    </w:p>
    <w:p w14:paraId="2729F8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④AIGC检测报告</w:t>
      </w:r>
    </w:p>
    <w:p w14:paraId="6F1E67AB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271135" cy="2378075"/>
            <wp:effectExtent l="0" t="0" r="12065" b="9525"/>
            <wp:docPr id="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FC37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</w:p>
    <w:p w14:paraId="0B24DE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default" w:ascii="宋体" w:hAnsi="宋体" w:eastAsia="宋体"/>
          <w:b/>
          <w:bCs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智能质检</w:t>
      </w:r>
    </w:p>
    <w:p w14:paraId="176B39E8">
      <w:pPr>
        <w:spacing w:line="360" w:lineRule="auto"/>
        <w:ind w:firstLine="480" w:firstLineChars="200"/>
        <w:rPr>
          <w:rFonts w:hint="default" w:ascii="宋体" w:hAnsi="宋体" w:eastAsia="宋体"/>
          <w:b/>
          <w:bCs/>
          <w:sz w:val="28"/>
          <w:szCs w:val="32"/>
          <w:lang w:val="en-US" w:eastAsia="zh-CN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学生端【答辩前定稿】点击【提交】，按照页面提示上传论文，点击提交。请选择检测方式：免费检测并提交，使用学校分配的智能质检次数。</w:t>
      </w:r>
    </w:p>
    <w:p w14:paraId="6D4DA507">
      <w:pPr>
        <w:spacing w:line="360" w:lineRule="auto"/>
      </w:pPr>
      <w:r>
        <w:drawing>
          <wp:inline distT="0" distB="0" distL="114300" distR="114300">
            <wp:extent cx="5263515" cy="2185035"/>
            <wp:effectExtent l="0" t="0" r="19685" b="2476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CAAC">
      <w:pPr>
        <w:spacing w:line="360" w:lineRule="auto"/>
        <w:ind w:firstLine="480" w:firstLineChars="200"/>
        <w:rPr>
          <w:rFonts w:hint="default" w:ascii="宋体" w:hAnsi="宋体" w:eastAsia="宋体"/>
          <w:sz w:val="24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智能质检需要一定时间，请耐心等待检测。</w:t>
      </w:r>
    </w:p>
    <w:p w14:paraId="5A833A6C">
      <w:pPr>
        <w:spacing w:line="360" w:lineRule="auto"/>
        <w:ind w:firstLine="480" w:firstLineChars="200"/>
        <w:rPr>
          <w:rFonts w:hint="eastAsia" w:ascii="宋体" w:hAnsi="宋体" w:eastAsia="宋体"/>
          <w:b/>
          <w:bCs/>
          <w:sz w:val="28"/>
          <w:szCs w:val="32"/>
          <w:lang w:val="en-US" w:eastAsia="zh-CN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如已提交检测，学生可在对应【答辩前定稿】环节查看智能质检报告。</w:t>
      </w:r>
    </w:p>
    <w:p w14:paraId="2CAB40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535430"/>
            <wp:effectExtent l="0" t="0" r="12700" b="139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A081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AI预估通过率下方文字：学术规范存在未检测，即学生本次论文智能质检暂无学术规范检测结果，请忽略提示。</w:t>
      </w:r>
    </w:p>
    <w:p w14:paraId="051BAAD3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点击智能质检简版报告，查看整体检测结果。</w:t>
      </w:r>
    </w:p>
    <w:p w14:paraId="3B97FA43">
      <w:pPr>
        <w:spacing w:line="360" w:lineRule="auto"/>
      </w:pPr>
      <w:r>
        <w:drawing>
          <wp:inline distT="0" distB="0" distL="114300" distR="114300">
            <wp:extent cx="5269230" cy="2381885"/>
            <wp:effectExtent l="0" t="0" r="13970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6CC8A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8"/>
          <w:lang w:val="en-US" w:eastAsia="zh-CN"/>
        </w:rPr>
        <w:t>点击智能质检详细报告，查看论文核心问题与建议。</w:t>
      </w:r>
    </w:p>
    <w:p w14:paraId="338E4C4F">
      <w:pPr>
        <w:spacing w:line="360" w:lineRule="auto"/>
      </w:pPr>
      <w:r>
        <w:drawing>
          <wp:inline distT="0" distB="0" distL="114300" distR="114300">
            <wp:extent cx="5260340" cy="2209800"/>
            <wp:effectExtent l="0" t="0" r="2286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6DDE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</w:p>
    <w:p w14:paraId="19985DB1"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</w:rPr>
      </w:pPr>
    </w:p>
    <w:p w14:paraId="117B5CAA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bookmarkStart w:id="21" w:name="_Toc2853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提交论文注意事项</w:t>
      </w:r>
      <w:bookmarkEnd w:id="21"/>
    </w:p>
    <w:p w14:paraId="0B30C36C"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在论文还需修改的阶段，可选择不检测提交给导师评阅，当导师确认论文无需修改之后再使用免费检测次数检测提交，合理使用免费检测次数，避免浪费。</w:t>
      </w:r>
    </w:p>
    <w:p w14:paraId="71C1D265"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导师端评阅学生最新一次论文提交记录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。在导师给出评阅结果前，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  <w:t>请勿重复提交论文，否则将会覆盖为最新一次提交内容。【重要】！！！！！！！！！！</w:t>
      </w:r>
    </w:p>
    <w:p w14:paraId="2C993272"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Hans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Hans" w:bidi="ar-SA"/>
        </w:rPr>
        <w:t>最大支持上传30M以内的文档，如超过该大小，请压缩文档内</w:t>
      </w:r>
      <w:bookmarkStart w:id="28" w:name="_GoBack"/>
      <w:bookmarkEnd w:id="28"/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Hans" w:bidi="ar-SA"/>
        </w:rPr>
        <w:t>的图片等内容，压缩方法可参考系统页面帮助中心；</w:t>
      </w:r>
    </w:p>
    <w:p w14:paraId="52A77845"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Hans" w:bidi="ar-SA"/>
        </w:rPr>
        <w:t>导师定稿后若因格式，标点符号等需修改，建议不要退回待答辩后一并修改上传终稿，避免已定稿再次检测；</w:t>
      </w:r>
    </w:p>
    <w:p w14:paraId="585055E0"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因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Hans" w:bidi="ar-SA"/>
        </w:rPr>
        <w:t>为系统具备应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届互抄检测功能，所以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highlight w:val="yellow"/>
          <w:lang w:val="en-US" w:eastAsia="zh-Hans" w:bidi="ar-SA"/>
        </w:rPr>
        <w:t>请不要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highlight w:val="yellow"/>
          <w:lang w:val="en-US" w:eastAsia="zh-CN" w:bidi="ar-SA"/>
        </w:rPr>
        <w:t>在本人账户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highlight w:val="yellow"/>
          <w:lang w:val="en-US" w:eastAsia="zh-Hans" w:bidi="ar-SA"/>
        </w:rPr>
        <w:t>替他人上传论文文档检测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，否则会导致本人论文与他人论文检测到相似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，影响同届比结果，需要先反馈学校/学院，由学校/学院老师联系格子达工作人员才能处理。</w:t>
      </w:r>
    </w:p>
    <w:p w14:paraId="792A936B"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请不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要上传已设置密码保护或限制编辑的文档，否则系统会因没有密码或权限导致读取失败，影响正常检测;</w:t>
      </w:r>
    </w:p>
    <w:p w14:paraId="392D48C1"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格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式主体完整：即送检文档需包含目录、摘要、参考文献、致谢等；必备主体可见格式检测标*处；若缺失请检查格式设置、文字、符号等是否符合要求或正确。</w:t>
      </w:r>
    </w:p>
    <w:p w14:paraId="6825363D">
      <w:pPr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br w:type="page"/>
      </w:r>
    </w:p>
    <w:p w14:paraId="156BECC0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bookmarkStart w:id="22" w:name="_Toc11673"/>
      <w:bookmarkStart w:id="23" w:name="_Toc92988853"/>
      <w:bookmarkStart w:id="24" w:name="_Toc23801"/>
      <w:bookmarkStart w:id="25" w:name="_Toc4167"/>
      <w:bookmarkStart w:id="26" w:name="_Toc1250"/>
      <w:bookmarkStart w:id="27" w:name="_Toc1450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常见问题</w:t>
      </w:r>
      <w:bookmarkEnd w:id="22"/>
      <w:bookmarkEnd w:id="23"/>
      <w:bookmarkEnd w:id="24"/>
      <w:bookmarkEnd w:id="25"/>
      <w:bookmarkEnd w:id="26"/>
      <w:bookmarkEnd w:id="27"/>
    </w:p>
    <w:p w14:paraId="3CCB1E25">
      <w:pPr>
        <w:numPr>
          <w:ilvl w:val="0"/>
          <w:numId w:val="4"/>
        </w:numPr>
        <w:spacing w:line="360" w:lineRule="auto"/>
        <w:ind w:firstLine="562" w:firstLineChars="200"/>
        <w:rPr>
          <w:rFonts w:ascii="宋体" w:hAnsi="宋体" w:eastAsia="宋体" w:cs="宋体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“主体缺失”是什么意思？</w:t>
      </w:r>
    </w:p>
    <w:p w14:paraId="60615284"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ascii="宋体" w:hAnsi="宋体" w:eastAsia="宋体" w:cs="宋体"/>
          <w:sz w:val="28"/>
          <w:szCs w:val="28"/>
          <w:highlight w:val="none"/>
        </w:rPr>
        <w:t>主体缺失是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格式检测的结果</w:t>
      </w:r>
      <w:r>
        <w:rPr>
          <w:rFonts w:ascii="宋体" w:hAnsi="宋体" w:eastAsia="宋体" w:cs="宋体"/>
          <w:sz w:val="28"/>
          <w:szCs w:val="28"/>
          <w:highlight w:val="none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主体为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目录、中英文摘要、中英文关键词、正文、参考文献、致谢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等（可直接在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格式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检测结果中查看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必备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论文主体）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主体缺失即为某一主体格式不正确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或者缺乏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导致系统检测未识别。请对照学校格式规范检查，或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可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在系统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中</w:t>
      </w:r>
      <w:r>
        <w:rPr>
          <w:rFonts w:ascii="宋体" w:hAnsi="宋体" w:eastAsia="宋体" w:cs="宋体"/>
          <w:sz w:val="28"/>
          <w:szCs w:val="28"/>
          <w:highlight w:val="none"/>
        </w:rPr>
        <w:t>点击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“</w:t>
      </w:r>
      <w:r>
        <w:rPr>
          <w:rFonts w:ascii="宋体" w:hAnsi="宋体" w:eastAsia="宋体" w:cs="宋体"/>
          <w:sz w:val="28"/>
          <w:szCs w:val="28"/>
          <w:highlight w:val="none"/>
        </w:rPr>
        <w:t>查看报告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”</w:t>
      </w:r>
      <w:r>
        <w:rPr>
          <w:rFonts w:ascii="宋体" w:hAnsi="宋体" w:eastAsia="宋体" w:cs="宋体"/>
          <w:sz w:val="28"/>
          <w:szCs w:val="28"/>
          <w:highlight w:val="none"/>
        </w:rPr>
        <w:t>---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“</w:t>
      </w:r>
      <w:r>
        <w:rPr>
          <w:rFonts w:ascii="宋体" w:hAnsi="宋体" w:eastAsia="宋体" w:cs="宋体"/>
          <w:sz w:val="28"/>
          <w:szCs w:val="28"/>
          <w:highlight w:val="none"/>
        </w:rPr>
        <w:t>格式检测报告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”</w:t>
      </w:r>
      <w:r>
        <w:rPr>
          <w:rFonts w:ascii="宋体" w:hAnsi="宋体" w:eastAsia="宋体" w:cs="宋体"/>
          <w:sz w:val="28"/>
          <w:szCs w:val="28"/>
          <w:highlight w:val="none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查看</w:t>
      </w:r>
      <w:r>
        <w:rPr>
          <w:rFonts w:ascii="宋体" w:hAnsi="宋体" w:eastAsia="宋体" w:cs="宋体"/>
          <w:sz w:val="28"/>
          <w:szCs w:val="28"/>
          <w:highlight w:val="none"/>
        </w:rPr>
        <w:t>格式检测的详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情</w:t>
      </w:r>
      <w:r>
        <w:rPr>
          <w:rFonts w:ascii="宋体" w:hAnsi="宋体" w:eastAsia="宋体" w:cs="宋体"/>
          <w:sz w:val="28"/>
          <w:szCs w:val="28"/>
          <w:highlight w:val="none"/>
        </w:rPr>
        <w:t>。可以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参考</w:t>
      </w:r>
      <w:r>
        <w:rPr>
          <w:rFonts w:ascii="宋体" w:hAnsi="宋体" w:eastAsia="宋体" w:cs="宋体"/>
          <w:sz w:val="28"/>
          <w:szCs w:val="28"/>
          <w:highlight w:val="none"/>
        </w:rPr>
        <w:t>格式检测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的详细标注</w:t>
      </w:r>
      <w:r>
        <w:rPr>
          <w:rFonts w:ascii="宋体" w:hAnsi="宋体" w:eastAsia="宋体" w:cs="宋体"/>
          <w:sz w:val="28"/>
          <w:szCs w:val="28"/>
          <w:highlight w:val="none"/>
        </w:rPr>
        <w:t>报告进行修改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</w:p>
    <w:p w14:paraId="74291667">
      <w:pPr>
        <w:numPr>
          <w:ilvl w:val="0"/>
          <w:numId w:val="4"/>
        </w:numPr>
        <w:spacing w:line="360" w:lineRule="auto"/>
        <w:ind w:firstLine="562" w:firstLineChars="200"/>
        <w:rPr>
          <w:rFonts w:ascii="宋体" w:hAnsi="宋体" w:eastAsia="宋体" w:cs="宋体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检测结果多久可以出？</w:t>
      </w:r>
    </w:p>
    <w:p w14:paraId="2792886E">
      <w:pPr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格子达系统的检测效率为1万字以下论文的检测最小耗时1分钟，3-5万字论文的检测最小耗时在5-10分钟，英文论文检测由于需要链接国外服务器可能时间稍长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如遇检测高峰期，将可于2小时后刷新界面。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请耐心等待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两个小时后刷新网页无检测结果，可联系在线客服提供学校和学号反馈情况</w:t>
      </w:r>
    </w:p>
    <w:p w14:paraId="352FECDD">
      <w:pPr>
        <w:numPr>
          <w:ilvl w:val="0"/>
          <w:numId w:val="4"/>
        </w:numPr>
        <w:spacing w:line="360" w:lineRule="auto"/>
        <w:ind w:left="0" w:leftChars="0" w:firstLine="562" w:firstLineChars="200"/>
        <w:rPr>
          <w:rFonts w:hint="default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/>
        </w:rPr>
        <w:t>目录、参考文献为什么会查重？</w:t>
      </w:r>
    </w:p>
    <w:p w14:paraId="54D1F2B2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目录、参考文献属于不查重范围。若参与查重，请对照学校格式规范检查论文的格式是否与要求一致。目录建议使用自动生成的形式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注：不规范的目录将影响检测范围。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参考文献需根据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GB/T 7713.1-2025规范文档书写。</w:t>
      </w:r>
    </w:p>
    <w:p w14:paraId="09AF21E7">
      <w:pPr>
        <w:numPr>
          <w:ilvl w:val="0"/>
          <w:numId w:val="4"/>
        </w:numPr>
        <w:spacing w:line="360" w:lineRule="auto"/>
        <w:ind w:left="0" w:leftChars="0" w:firstLine="562" w:firstLineChars="200"/>
        <w:rPr>
          <w:rFonts w:hint="default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/>
        </w:rPr>
        <w:t>引用为什么为0？</w:t>
      </w:r>
    </w:p>
    <w:p w14:paraId="19FD10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论文树立的根底是无数前人的资料（论文、专著、笔记等等），按照相关规范，如有引用需完成对应的引用标识；常用的引用规范为中文采用GB/T 7713、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GB/T 7713.1-2025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，外文采用APA、MLA规范；格子达系统按照学术规范的要求进行检测，引用识别规则可在系统、客服端、公众号获取；如引用格式不正确则会导致引用为0。</w:t>
      </w:r>
    </w:p>
    <w:p w14:paraId="6DF1056E">
      <w:pPr>
        <w:numPr>
          <w:ilvl w:val="0"/>
          <w:numId w:val="4"/>
        </w:numPr>
        <w:spacing w:line="360" w:lineRule="auto"/>
        <w:ind w:left="0" w:leftChars="0" w:firstLine="562" w:firstLineChars="200"/>
        <w:rPr>
          <w:rFonts w:hint="default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/>
        </w:rPr>
        <w:t>为什么终稿要上传PDF？</w:t>
      </w:r>
    </w:p>
    <w:p w14:paraId="1F06D2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教育部本科学位论文抽检上报要求，所有毕业生论文需上传PDF格式的文档；所以需要学生端同时上传word版本，PDF版本文档。系统有免费转存功能，学生也可以手动上传PDF版文档。如文档为系统转存生成，学生务必自行核对无误后再上传。</w:t>
      </w:r>
    </w:p>
    <w:p w14:paraId="2F4D0FDC">
      <w:pPr>
        <w:pStyle w:val="10"/>
        <w:numPr>
          <w:ilvl w:val="0"/>
          <w:numId w:val="0"/>
        </w:numPr>
        <w:ind w:leftChars="200" w:firstLine="281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6.时间截止了无法提交怎么办？</w:t>
      </w:r>
    </w:p>
    <w:p w14:paraId="46E3B497">
      <w:pPr>
        <w:pStyle w:val="10"/>
        <w:numPr>
          <w:ilvl w:val="0"/>
          <w:numId w:val="0"/>
        </w:numPr>
        <w:ind w:firstLine="840" w:firstLineChars="300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40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时间截止了的话需要延长时间哦，延长时间建议联系学校或学院管理员哈，时间是由学校设置的。</w:t>
      </w:r>
    </w:p>
    <w:p w14:paraId="54407A2A"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4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5E8E1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34B478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34B478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8C3B04">
    <w:pPr>
      <w:pStyle w:val="6"/>
      <w:jc w:val="right"/>
      <w:rPr>
        <w:rFonts w:hint="default" w:eastAsiaTheme="minorEastAsia"/>
        <w:sz w:val="21"/>
        <w:szCs w:val="21"/>
        <w:lang w:val="en-US" w:eastAsia="zh-CN"/>
      </w:rPr>
    </w:pPr>
    <w:r>
      <w:rPr>
        <w:rFonts w:hint="eastAsia"/>
        <w:sz w:val="21"/>
        <w:szCs w:val="21"/>
        <w:lang w:val="en-US" w:eastAsia="zh-CN"/>
      </w:rPr>
      <w:t xml:space="preserve">武汉工程大学邮电与信息工程学院毕业论文（设计）管理系统       </w:t>
    </w:r>
    <w:r>
      <w:rPr>
        <w:rFonts w:hint="default" w:eastAsiaTheme="minorEastAsia"/>
        <w:sz w:val="21"/>
        <w:szCs w:val="21"/>
        <w:lang w:val="en-US" w:eastAsia="zh-CN"/>
      </w:rPr>
      <w:drawing>
        <wp:inline distT="0" distB="0" distL="114300" distR="114300">
          <wp:extent cx="668020" cy="212725"/>
          <wp:effectExtent l="0" t="0" r="2540" b="635"/>
          <wp:docPr id="26" name="图片 26" descr="f640d32a6029b98c0657a9782e728a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f640d32a6029b98c0657a9782e728a6c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20" cy="212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09F833"/>
    <w:multiLevelType w:val="singleLevel"/>
    <w:tmpl w:val="9709F833"/>
    <w:lvl w:ilvl="0" w:tentative="0">
      <w:start w:val="1"/>
      <w:numFmt w:val="bullet"/>
      <w:suff w:val="space"/>
      <w:lvlText w:val="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">
    <w:nsid w:val="DE67F1C1"/>
    <w:multiLevelType w:val="singleLevel"/>
    <w:tmpl w:val="DE67F1C1"/>
    <w:lvl w:ilvl="0" w:tentative="0">
      <w:start w:val="5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2">
    <w:nsid w:val="00000001"/>
    <w:multiLevelType w:val="singleLevel"/>
    <w:tmpl w:val="0000000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48A22FCC"/>
    <w:multiLevelType w:val="multilevel"/>
    <w:tmpl w:val="48A22FC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F2BF1"/>
    <w:rsid w:val="00351550"/>
    <w:rsid w:val="014A0A6E"/>
    <w:rsid w:val="017D6F03"/>
    <w:rsid w:val="018856AF"/>
    <w:rsid w:val="022D3AD7"/>
    <w:rsid w:val="03092820"/>
    <w:rsid w:val="03930171"/>
    <w:rsid w:val="03DA6DC9"/>
    <w:rsid w:val="04BE5FB8"/>
    <w:rsid w:val="0581134B"/>
    <w:rsid w:val="05997E73"/>
    <w:rsid w:val="068442BE"/>
    <w:rsid w:val="076F3599"/>
    <w:rsid w:val="08987BE8"/>
    <w:rsid w:val="08A242C7"/>
    <w:rsid w:val="08FD339D"/>
    <w:rsid w:val="0971670A"/>
    <w:rsid w:val="0A2C7172"/>
    <w:rsid w:val="0A8C1A16"/>
    <w:rsid w:val="0C215F5E"/>
    <w:rsid w:val="0E252C04"/>
    <w:rsid w:val="0ED62150"/>
    <w:rsid w:val="0F4F5A5E"/>
    <w:rsid w:val="0F53554E"/>
    <w:rsid w:val="0F965976"/>
    <w:rsid w:val="10A668DA"/>
    <w:rsid w:val="10E02E12"/>
    <w:rsid w:val="110C3C07"/>
    <w:rsid w:val="11AC1671"/>
    <w:rsid w:val="127A2561"/>
    <w:rsid w:val="128143E8"/>
    <w:rsid w:val="130C6140"/>
    <w:rsid w:val="1313115D"/>
    <w:rsid w:val="139323BD"/>
    <w:rsid w:val="13D6181C"/>
    <w:rsid w:val="14D82CC8"/>
    <w:rsid w:val="14D964F6"/>
    <w:rsid w:val="15121A08"/>
    <w:rsid w:val="15904E51"/>
    <w:rsid w:val="15F459F5"/>
    <w:rsid w:val="162C08A7"/>
    <w:rsid w:val="171131A7"/>
    <w:rsid w:val="184665A9"/>
    <w:rsid w:val="195720DF"/>
    <w:rsid w:val="1A213EA2"/>
    <w:rsid w:val="1ACB68B6"/>
    <w:rsid w:val="1BA944C3"/>
    <w:rsid w:val="1BF41A97"/>
    <w:rsid w:val="1C1E1B8D"/>
    <w:rsid w:val="1CA97497"/>
    <w:rsid w:val="1D3771B4"/>
    <w:rsid w:val="1D8B2357"/>
    <w:rsid w:val="1F30765A"/>
    <w:rsid w:val="2080260A"/>
    <w:rsid w:val="218542B2"/>
    <w:rsid w:val="22265B0E"/>
    <w:rsid w:val="22BE6D2B"/>
    <w:rsid w:val="26D46B1D"/>
    <w:rsid w:val="270C4E2A"/>
    <w:rsid w:val="271853EB"/>
    <w:rsid w:val="28463A4A"/>
    <w:rsid w:val="296A19BB"/>
    <w:rsid w:val="2B9118BE"/>
    <w:rsid w:val="2D713318"/>
    <w:rsid w:val="2E8E4494"/>
    <w:rsid w:val="2EC21951"/>
    <w:rsid w:val="2EE47B19"/>
    <w:rsid w:val="2FD52D2D"/>
    <w:rsid w:val="317909ED"/>
    <w:rsid w:val="31D719CA"/>
    <w:rsid w:val="34CB5276"/>
    <w:rsid w:val="34F36D08"/>
    <w:rsid w:val="35026026"/>
    <w:rsid w:val="35635C3C"/>
    <w:rsid w:val="36786B06"/>
    <w:rsid w:val="36B227F4"/>
    <w:rsid w:val="37153FCB"/>
    <w:rsid w:val="384639D0"/>
    <w:rsid w:val="38F56527"/>
    <w:rsid w:val="398D62E7"/>
    <w:rsid w:val="3F6B41FB"/>
    <w:rsid w:val="40BE4B51"/>
    <w:rsid w:val="40DF1CC1"/>
    <w:rsid w:val="429B59EC"/>
    <w:rsid w:val="44070C96"/>
    <w:rsid w:val="440865F7"/>
    <w:rsid w:val="44D06CEB"/>
    <w:rsid w:val="455E3D2A"/>
    <w:rsid w:val="45D60E05"/>
    <w:rsid w:val="45E53200"/>
    <w:rsid w:val="48D7076D"/>
    <w:rsid w:val="493A6D19"/>
    <w:rsid w:val="49982882"/>
    <w:rsid w:val="4B7750CC"/>
    <w:rsid w:val="4C276BC0"/>
    <w:rsid w:val="4D27359B"/>
    <w:rsid w:val="4D382254"/>
    <w:rsid w:val="4DCE4E21"/>
    <w:rsid w:val="4DF46460"/>
    <w:rsid w:val="4E845FF1"/>
    <w:rsid w:val="4F275CED"/>
    <w:rsid w:val="4F765C11"/>
    <w:rsid w:val="4FDF015D"/>
    <w:rsid w:val="5087673B"/>
    <w:rsid w:val="508F3931"/>
    <w:rsid w:val="50A13664"/>
    <w:rsid w:val="50B67110"/>
    <w:rsid w:val="50D55935"/>
    <w:rsid w:val="5133250E"/>
    <w:rsid w:val="526426BA"/>
    <w:rsid w:val="528C45CC"/>
    <w:rsid w:val="535F3A8F"/>
    <w:rsid w:val="53B65679"/>
    <w:rsid w:val="541C54DC"/>
    <w:rsid w:val="548D5210"/>
    <w:rsid w:val="55915A56"/>
    <w:rsid w:val="56C836F9"/>
    <w:rsid w:val="56FF7F73"/>
    <w:rsid w:val="59F31A97"/>
    <w:rsid w:val="5B5255F1"/>
    <w:rsid w:val="5C643EC4"/>
    <w:rsid w:val="5D1551BE"/>
    <w:rsid w:val="5D491DAD"/>
    <w:rsid w:val="5E167440"/>
    <w:rsid w:val="5FA43809"/>
    <w:rsid w:val="5FEB0458"/>
    <w:rsid w:val="60854409"/>
    <w:rsid w:val="60E400FC"/>
    <w:rsid w:val="62D6719E"/>
    <w:rsid w:val="62D84315"/>
    <w:rsid w:val="633C38DE"/>
    <w:rsid w:val="635051A2"/>
    <w:rsid w:val="63972DD1"/>
    <w:rsid w:val="63CE4319"/>
    <w:rsid w:val="64002DAD"/>
    <w:rsid w:val="65A11CE5"/>
    <w:rsid w:val="65C14135"/>
    <w:rsid w:val="65D61F4D"/>
    <w:rsid w:val="65E6594A"/>
    <w:rsid w:val="66326DE1"/>
    <w:rsid w:val="66644C16"/>
    <w:rsid w:val="67FB208A"/>
    <w:rsid w:val="68155F11"/>
    <w:rsid w:val="68185A57"/>
    <w:rsid w:val="6884144A"/>
    <w:rsid w:val="691E5254"/>
    <w:rsid w:val="6A365E31"/>
    <w:rsid w:val="6B0845B4"/>
    <w:rsid w:val="6BC06C3D"/>
    <w:rsid w:val="6BDD77EF"/>
    <w:rsid w:val="6CC453EC"/>
    <w:rsid w:val="6D3671B7"/>
    <w:rsid w:val="6D3710FC"/>
    <w:rsid w:val="6DAA3BEC"/>
    <w:rsid w:val="6DB9102A"/>
    <w:rsid w:val="6E0D7918"/>
    <w:rsid w:val="702F613F"/>
    <w:rsid w:val="70AC5D38"/>
    <w:rsid w:val="7169241D"/>
    <w:rsid w:val="71AC3DD7"/>
    <w:rsid w:val="727F2BF1"/>
    <w:rsid w:val="73614440"/>
    <w:rsid w:val="73681338"/>
    <w:rsid w:val="74A40EAA"/>
    <w:rsid w:val="75607BE4"/>
    <w:rsid w:val="771147F0"/>
    <w:rsid w:val="782B4BA2"/>
    <w:rsid w:val="79957BD8"/>
    <w:rsid w:val="79C913B2"/>
    <w:rsid w:val="79E32474"/>
    <w:rsid w:val="7BEF6C17"/>
    <w:rsid w:val="7C0A6D20"/>
    <w:rsid w:val="7C7B5362"/>
    <w:rsid w:val="7C977546"/>
    <w:rsid w:val="7E490D14"/>
    <w:rsid w:val="7EAD50A6"/>
    <w:rsid w:val="D76BA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Body Text First Indent 2"/>
    <w:basedOn w:val="3"/>
    <w:qFormat/>
    <w:uiPriority w:val="0"/>
    <w:pPr>
      <w:ind w:firstLine="420" w:firstLineChars="200"/>
    </w:p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2058</Words>
  <Characters>2137</Characters>
  <Lines>0</Lines>
  <Paragraphs>0</Paragraphs>
  <TotalTime>6</TotalTime>
  <ScaleCrop>false</ScaleCrop>
  <LinksUpToDate>false</LinksUpToDate>
  <CharactersWithSpaces>2143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2024-10-31T11:47:00Z</dcterms:created>
  <dc:creator> 一室阳光</dc:creator>
  <cp:lastModifiedBy>牛魔王</cp:lastModifiedBy>
  <dcterms:modified xsi:type="dcterms:W3CDTF">2026-04-14T02:06:06Z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eyJoZGlkIjoiMjIwZmI5MmNhYjlhNzdkYTM5NTMyNjRhNWUyOTFhMGYiLCJ1c2VySWQiOiI2ODE3NzMwNzkifQ==</vt:lpwstr>
  </property>
  <property fmtid="{D5CDD505-2E9C-101B-9397-08002B2CF9AE}" pid="4" name="ICV">
    <vt:lpwstr>97097E9D81AC19AD1E9FDD691D197139_43</vt:lpwstr>
  </property>
</Properties>
</file>